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4C9F3" w14:textId="53411F91" w:rsidR="00477CD5" w:rsidRPr="00F3706B" w:rsidRDefault="000029DD" w:rsidP="00477CD5">
      <w:pPr>
        <w:pStyle w:val="Header"/>
        <w:tabs>
          <w:tab w:val="right" w:pos="9356"/>
        </w:tabs>
        <w:jc w:val="center"/>
      </w:pPr>
      <w:bookmarkStart w:id="0" w:name="_Toc327548004"/>
      <w:bookmarkStart w:id="1" w:name="_Toc327548204"/>
      <w:bookmarkStart w:id="2" w:name="_Toc330993687"/>
      <w:bookmarkStart w:id="3" w:name="_Toc74460299"/>
      <w:r w:rsidRPr="00F3706B">
        <w:rPr>
          <w:noProof/>
        </w:rPr>
        <w:drawing>
          <wp:inline distT="0" distB="0" distL="0" distR="0" wp14:anchorId="43AB3FD5" wp14:editId="1BBC9D22">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4375" cy="784375"/>
                    </a:xfrm>
                    <a:prstGeom prst="rect">
                      <a:avLst/>
                    </a:prstGeom>
                  </pic:spPr>
                </pic:pic>
              </a:graphicData>
            </a:graphic>
          </wp:inline>
        </w:drawing>
      </w:r>
    </w:p>
    <w:p w14:paraId="21244F43" w14:textId="77777777" w:rsidR="00477CD5" w:rsidRPr="00F3706B" w:rsidRDefault="00477CD5" w:rsidP="003E4579">
      <w:pPr>
        <w:pStyle w:val="Title"/>
        <w:jc w:val="center"/>
      </w:pPr>
      <w:r w:rsidRPr="00F3706B">
        <w:t>Liaison Statement</w:t>
      </w:r>
    </w:p>
    <w:p w14:paraId="09018AF8" w14:textId="77777777" w:rsidR="003E4579" w:rsidRPr="00F3706B"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3706B" w14:paraId="6AA40E72" w14:textId="77777777" w:rsidTr="003E4579">
        <w:trPr>
          <w:trHeight w:val="590"/>
          <w:tblHeader/>
        </w:trPr>
        <w:tc>
          <w:tcPr>
            <w:tcW w:w="3337" w:type="dxa"/>
            <w:shd w:val="clear" w:color="auto" w:fill="DE002B"/>
            <w:vAlign w:val="center"/>
          </w:tcPr>
          <w:p w14:paraId="1B3D0677" w14:textId="77777777" w:rsidR="00477CD5" w:rsidRPr="008C1B2C" w:rsidRDefault="00477CD5" w:rsidP="003E4579">
            <w:pPr>
              <w:pStyle w:val="TableHeader"/>
              <w:rPr>
                <w:lang w:val="en-GB"/>
              </w:rPr>
            </w:pPr>
            <w:r w:rsidRPr="008C1B2C">
              <w:rPr>
                <w:lang w:val="en-GB"/>
              </w:rPr>
              <w:t>Liaison Statement Title:</w:t>
            </w:r>
          </w:p>
        </w:tc>
        <w:tc>
          <w:tcPr>
            <w:tcW w:w="6379" w:type="dxa"/>
            <w:vAlign w:val="center"/>
          </w:tcPr>
          <w:p w14:paraId="0F2DC9D1" w14:textId="16128447" w:rsidR="00477CD5" w:rsidRPr="00F3706B" w:rsidRDefault="00531443" w:rsidP="00243007">
            <w:pPr>
              <w:pStyle w:val="TableText"/>
            </w:pPr>
            <w:r w:rsidRPr="00F3706B">
              <w:t xml:space="preserve">GSMA </w:t>
            </w:r>
            <w:r w:rsidR="00721B63" w:rsidRPr="00F3706B">
              <w:t>DESS - Diameter IPX Network End-to-End Security Solution</w:t>
            </w:r>
          </w:p>
        </w:tc>
      </w:tr>
      <w:tr w:rsidR="00E21141" w:rsidRPr="00F3706B" w14:paraId="2C7FD290" w14:textId="77777777" w:rsidTr="003E4579">
        <w:trPr>
          <w:trHeight w:val="590"/>
          <w:tblHeader/>
        </w:trPr>
        <w:tc>
          <w:tcPr>
            <w:tcW w:w="3337" w:type="dxa"/>
            <w:shd w:val="clear" w:color="auto" w:fill="DE002B"/>
            <w:vAlign w:val="center"/>
          </w:tcPr>
          <w:p w14:paraId="32CB1C1B" w14:textId="77777777" w:rsidR="00E21141" w:rsidRPr="008C1B2C" w:rsidRDefault="00E21141" w:rsidP="003E4579">
            <w:pPr>
              <w:pStyle w:val="TableHeader"/>
              <w:rPr>
                <w:lang w:val="en-GB"/>
              </w:rPr>
            </w:pPr>
            <w:r w:rsidRPr="008C1B2C">
              <w:rPr>
                <w:lang w:val="en-GB"/>
              </w:rPr>
              <w:t>Security Classification:</w:t>
            </w:r>
          </w:p>
        </w:tc>
        <w:tc>
          <w:tcPr>
            <w:tcW w:w="6379" w:type="dxa"/>
            <w:vAlign w:val="center"/>
          </w:tcPr>
          <w:p w14:paraId="350218D7" w14:textId="4975C3EE" w:rsidR="00E21141" w:rsidRPr="00F3706B" w:rsidRDefault="00EA6655" w:rsidP="00D93B90">
            <w:pPr>
              <w:pStyle w:val="TableText"/>
            </w:pPr>
            <w:r>
              <w:t>Non-</w:t>
            </w:r>
            <w:r w:rsidR="00E36500" w:rsidRPr="00F3706B">
              <w:t>C</w:t>
            </w:r>
            <w:r w:rsidR="00243007" w:rsidRPr="00F3706B">
              <w:t>onfidential</w:t>
            </w:r>
          </w:p>
        </w:tc>
      </w:tr>
    </w:tbl>
    <w:p w14:paraId="3EBDABB7" w14:textId="77777777" w:rsidR="00477CD5" w:rsidRPr="008C1B2C"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502F44A5"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0D715750" w14:textId="77777777" w:rsidR="00477CD5" w:rsidRPr="008C1B2C" w:rsidRDefault="00477CD5" w:rsidP="003E4579">
            <w:pPr>
              <w:pStyle w:val="TableHeader"/>
              <w:rPr>
                <w:lang w:val="en-GB"/>
              </w:rPr>
            </w:pPr>
            <w:r w:rsidRPr="008C1B2C">
              <w:rPr>
                <w:lang w:val="en-GB"/>
              </w:rPr>
              <w:t>Source Meeting Information</w:t>
            </w:r>
          </w:p>
        </w:tc>
      </w:tr>
      <w:tr w:rsidR="00477CD5" w:rsidRPr="00F3706B" w14:paraId="62C81A6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694AB4" w14:textId="77777777" w:rsidR="00477CD5" w:rsidRPr="00F3706B" w:rsidRDefault="00477CD5" w:rsidP="00DC5B89">
            <w:pPr>
              <w:pStyle w:val="TableText"/>
            </w:pPr>
            <w:r w:rsidRPr="00F3706B">
              <w:t>Meeting Number</w:t>
            </w:r>
          </w:p>
        </w:tc>
        <w:tc>
          <w:tcPr>
            <w:tcW w:w="3228" w:type="dxa"/>
            <w:shd w:val="clear" w:color="auto" w:fill="D9D9D9"/>
          </w:tcPr>
          <w:p w14:paraId="2263B049" w14:textId="77777777" w:rsidR="00477CD5" w:rsidRPr="00F3706B" w:rsidRDefault="00477CD5" w:rsidP="00DC5B89">
            <w:pPr>
              <w:pStyle w:val="TableText"/>
            </w:pPr>
            <w:r w:rsidRPr="00F3706B">
              <w:t>Meeting Date</w:t>
            </w:r>
          </w:p>
        </w:tc>
        <w:tc>
          <w:tcPr>
            <w:tcW w:w="3008" w:type="dxa"/>
            <w:shd w:val="clear" w:color="auto" w:fill="D9D9D9"/>
          </w:tcPr>
          <w:p w14:paraId="656EB2A4" w14:textId="77777777" w:rsidR="00477CD5" w:rsidRPr="00F3706B" w:rsidRDefault="00477CD5" w:rsidP="00DC5B89">
            <w:pPr>
              <w:pStyle w:val="TableText"/>
            </w:pPr>
            <w:r w:rsidRPr="00F3706B">
              <w:t>Meeting Location</w:t>
            </w:r>
          </w:p>
        </w:tc>
      </w:tr>
      <w:tr w:rsidR="00477CD5" w:rsidRPr="00F3706B" w14:paraId="7B1D20C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AA305F" w14:textId="1D7A9B89" w:rsidR="00477CD5" w:rsidRPr="00F3706B" w:rsidRDefault="00721B63" w:rsidP="003E4579">
            <w:pPr>
              <w:pStyle w:val="TableText"/>
            </w:pPr>
            <w:r w:rsidRPr="00F3706B">
              <w:t>DESS#31</w:t>
            </w:r>
          </w:p>
        </w:tc>
        <w:tc>
          <w:tcPr>
            <w:tcW w:w="3228" w:type="dxa"/>
          </w:tcPr>
          <w:p w14:paraId="690E7A83" w14:textId="25CA2D93" w:rsidR="00477CD5" w:rsidRPr="00F3706B" w:rsidRDefault="00721B63" w:rsidP="00D93B90">
            <w:pPr>
              <w:pStyle w:val="TableText"/>
            </w:pPr>
            <w:r w:rsidRPr="00F3706B">
              <w:t>28 March 2019</w:t>
            </w:r>
          </w:p>
        </w:tc>
        <w:tc>
          <w:tcPr>
            <w:tcW w:w="3008" w:type="dxa"/>
          </w:tcPr>
          <w:p w14:paraId="6B7ED0CC" w14:textId="77777777" w:rsidR="00477CD5" w:rsidRPr="00F3706B" w:rsidRDefault="00531443" w:rsidP="00531443">
            <w:pPr>
              <w:pStyle w:val="TableText"/>
            </w:pPr>
            <w:r w:rsidRPr="00F3706B">
              <w:t>Conferen</w:t>
            </w:r>
            <w:r w:rsidR="00D93B90" w:rsidRPr="00F3706B">
              <w:t>c</w:t>
            </w:r>
            <w:r w:rsidRPr="00F3706B">
              <w:t>e call</w:t>
            </w:r>
          </w:p>
        </w:tc>
      </w:tr>
    </w:tbl>
    <w:p w14:paraId="2780AB66"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34D06CDF"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E3C27D2" w14:textId="77777777" w:rsidR="00477CD5" w:rsidRPr="008C1B2C" w:rsidRDefault="00477CD5" w:rsidP="003E4579">
            <w:pPr>
              <w:pStyle w:val="TableHeader"/>
              <w:rPr>
                <w:lang w:val="en-GB"/>
              </w:rPr>
            </w:pPr>
            <w:r w:rsidRPr="008C1B2C">
              <w:rPr>
                <w:lang w:val="en-GB"/>
              </w:rPr>
              <w:t>Document Details</w:t>
            </w:r>
          </w:p>
        </w:tc>
      </w:tr>
      <w:tr w:rsidR="00477CD5" w:rsidRPr="00F3706B" w14:paraId="4F2C2E9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ED68B9" w14:textId="77777777" w:rsidR="00477CD5" w:rsidRPr="00F3706B" w:rsidRDefault="00477CD5" w:rsidP="00DC5B89">
            <w:pPr>
              <w:pStyle w:val="TableText"/>
            </w:pPr>
            <w:r w:rsidRPr="00F3706B">
              <w:t>Document Number:</w:t>
            </w:r>
          </w:p>
        </w:tc>
        <w:tc>
          <w:tcPr>
            <w:tcW w:w="3228" w:type="dxa"/>
            <w:shd w:val="clear" w:color="auto" w:fill="D9D9D9"/>
          </w:tcPr>
          <w:p w14:paraId="40D76683" w14:textId="77777777" w:rsidR="00477CD5" w:rsidRPr="00F3706B" w:rsidRDefault="00477CD5" w:rsidP="00DC5B89">
            <w:pPr>
              <w:pStyle w:val="TableText"/>
            </w:pPr>
            <w:r w:rsidRPr="00F3706B">
              <w:t>Creation Date:</w:t>
            </w:r>
          </w:p>
        </w:tc>
        <w:tc>
          <w:tcPr>
            <w:tcW w:w="3008" w:type="dxa"/>
            <w:shd w:val="clear" w:color="auto" w:fill="D9D9D9"/>
          </w:tcPr>
          <w:p w14:paraId="2284793F" w14:textId="77777777" w:rsidR="00477CD5" w:rsidRPr="00F3706B" w:rsidRDefault="00477CD5" w:rsidP="00DC5B89">
            <w:pPr>
              <w:pStyle w:val="TableText"/>
            </w:pPr>
            <w:r w:rsidRPr="00F3706B">
              <w:t>Document Author:</w:t>
            </w:r>
          </w:p>
        </w:tc>
      </w:tr>
      <w:tr w:rsidR="00477CD5" w:rsidRPr="00F3706B" w14:paraId="6777840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0351DB" w14:textId="153936BE" w:rsidR="00477CD5" w:rsidRPr="00F3706B" w:rsidRDefault="00721B63" w:rsidP="00243007">
            <w:pPr>
              <w:pStyle w:val="TableText"/>
            </w:pPr>
            <w:r w:rsidRPr="00F3706B">
              <w:t>DESS31_</w:t>
            </w:r>
            <w:r w:rsidR="00C5378E" w:rsidRPr="00F3706B">
              <w:t>05</w:t>
            </w:r>
          </w:p>
        </w:tc>
        <w:tc>
          <w:tcPr>
            <w:tcW w:w="3228" w:type="dxa"/>
          </w:tcPr>
          <w:p w14:paraId="33682EF4" w14:textId="17E1CB3F" w:rsidR="00477CD5" w:rsidRPr="00F3706B" w:rsidRDefault="00721B63" w:rsidP="003E4579">
            <w:pPr>
              <w:pStyle w:val="TableText"/>
            </w:pPr>
            <w:r w:rsidRPr="00F3706B">
              <w:t>27 March 2019</w:t>
            </w:r>
          </w:p>
        </w:tc>
        <w:tc>
          <w:tcPr>
            <w:tcW w:w="3008" w:type="dxa"/>
          </w:tcPr>
          <w:p w14:paraId="3EDE0BCD" w14:textId="6BE5DBC1" w:rsidR="00477CD5" w:rsidRPr="00F3706B" w:rsidRDefault="00721B63" w:rsidP="003E4579">
            <w:pPr>
              <w:pStyle w:val="TableText"/>
            </w:pPr>
            <w:r w:rsidRPr="00F3706B">
              <w:t>Ewout Pronk</w:t>
            </w:r>
            <w:r w:rsidR="00E36500" w:rsidRPr="00F3706B">
              <w:t xml:space="preserve"> (</w:t>
            </w:r>
            <w:r w:rsidRPr="00F3706B">
              <w:t>KPN</w:t>
            </w:r>
            <w:r w:rsidR="00E36500" w:rsidRPr="00F3706B">
              <w:t>)</w:t>
            </w:r>
          </w:p>
        </w:tc>
      </w:tr>
      <w:tr w:rsidR="00477CD5" w:rsidRPr="00F3706B" w14:paraId="713438B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F11B29F" w14:textId="77777777" w:rsidR="00477CD5" w:rsidRPr="00F3706B" w:rsidRDefault="00477CD5" w:rsidP="00DC5B89">
            <w:pPr>
              <w:pStyle w:val="TableText"/>
            </w:pPr>
            <w:r w:rsidRPr="00F3706B">
              <w:t>Originating GSMA Source:</w:t>
            </w:r>
          </w:p>
        </w:tc>
        <w:tc>
          <w:tcPr>
            <w:tcW w:w="3228" w:type="dxa"/>
            <w:shd w:val="clear" w:color="auto" w:fill="D9D9D9"/>
          </w:tcPr>
          <w:p w14:paraId="14FE7E0B" w14:textId="77777777" w:rsidR="00477CD5" w:rsidRPr="00F3706B" w:rsidRDefault="00E21141" w:rsidP="00DC5B89">
            <w:pPr>
              <w:pStyle w:val="TableText"/>
            </w:pPr>
            <w:r w:rsidRPr="00F3706B">
              <w:t>Deadline for response:</w:t>
            </w:r>
          </w:p>
        </w:tc>
        <w:tc>
          <w:tcPr>
            <w:tcW w:w="3008" w:type="dxa"/>
            <w:shd w:val="clear" w:color="auto" w:fill="D9D9D9"/>
          </w:tcPr>
          <w:p w14:paraId="02361E47" w14:textId="77777777" w:rsidR="00477CD5" w:rsidRPr="00F3706B" w:rsidRDefault="00E21141" w:rsidP="00DC5B89">
            <w:pPr>
              <w:pStyle w:val="TableText"/>
            </w:pPr>
            <w:r w:rsidRPr="00F3706B">
              <w:t>Liaison Statement Contact</w:t>
            </w:r>
          </w:p>
        </w:tc>
      </w:tr>
      <w:tr w:rsidR="00477CD5" w:rsidRPr="00F3706B" w14:paraId="7DE1A1D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6FF9A0" w14:textId="6953CE86" w:rsidR="00477CD5" w:rsidRPr="00F3706B" w:rsidRDefault="00531443" w:rsidP="003E4579">
            <w:pPr>
              <w:pStyle w:val="TableText"/>
            </w:pPr>
            <w:r w:rsidRPr="00F3706B">
              <w:t xml:space="preserve">FASG </w:t>
            </w:r>
            <w:r w:rsidR="00721B63" w:rsidRPr="00F3706B">
              <w:t>DESS</w:t>
            </w:r>
          </w:p>
        </w:tc>
        <w:tc>
          <w:tcPr>
            <w:tcW w:w="3228" w:type="dxa"/>
          </w:tcPr>
          <w:p w14:paraId="11C874BA" w14:textId="4EF5D6B6" w:rsidR="00477CD5" w:rsidRPr="00F3706B" w:rsidRDefault="00C5378E" w:rsidP="00243007">
            <w:pPr>
              <w:pStyle w:val="TableText"/>
            </w:pPr>
            <w:r w:rsidRPr="00F3706B">
              <w:t>-</w:t>
            </w:r>
          </w:p>
        </w:tc>
        <w:tc>
          <w:tcPr>
            <w:tcW w:w="3008" w:type="dxa"/>
          </w:tcPr>
          <w:p w14:paraId="5232B1F3" w14:textId="1D034D13" w:rsidR="00477CD5" w:rsidRPr="00F3706B" w:rsidRDefault="00B315EF" w:rsidP="003E4579">
            <w:pPr>
              <w:pStyle w:val="TableText"/>
            </w:pPr>
            <w:hyperlink r:id="rId12" w:history="1">
              <w:r w:rsidRPr="006766A2">
                <w:rPr>
                  <w:rStyle w:val="Hyperlink"/>
                  <w:rFonts w:eastAsia="MS Mincho"/>
                  <w:lang w:eastAsia="ja-JP"/>
                </w:rPr>
                <w:t>GSMALiaisons@gsma.com</w:t>
              </w:r>
            </w:hyperlink>
            <w:bookmarkStart w:id="4" w:name="_GoBack"/>
            <w:bookmarkEnd w:id="4"/>
          </w:p>
        </w:tc>
      </w:tr>
    </w:tbl>
    <w:p w14:paraId="540A00BB"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F3706B" w14:paraId="682B3E4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ECAE120" w14:textId="77777777" w:rsidR="00E21141" w:rsidRPr="008C1B2C" w:rsidRDefault="00E21141">
            <w:pPr>
              <w:pStyle w:val="TableHeader"/>
              <w:rPr>
                <w:lang w:val="en-GB"/>
              </w:rPr>
            </w:pPr>
            <w:r w:rsidRPr="008C1B2C">
              <w:rPr>
                <w:lang w:val="en-GB"/>
              </w:rPr>
              <w:t>Action Required by Recipient</w:t>
            </w:r>
          </w:p>
        </w:tc>
      </w:tr>
      <w:tr w:rsidR="00E21141" w:rsidRPr="00F3706B" w14:paraId="470CCDF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E00DF5D" w14:textId="77777777" w:rsidR="00E21141" w:rsidRPr="00F3706B" w:rsidRDefault="00E21141">
            <w:pPr>
              <w:pStyle w:val="TableText"/>
            </w:pPr>
            <w:r w:rsidRPr="00F3706B">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85EE1E" w14:textId="7A4BE9DC" w:rsidR="00AE7C34" w:rsidRPr="00F3706B" w:rsidRDefault="003E2F0B">
            <w:pPr>
              <w:pStyle w:val="TableText"/>
            </w:pPr>
            <w:r w:rsidRPr="00F3706B">
              <w:t>CC</w:t>
            </w:r>
            <w:r w:rsidR="00873EB1" w:rsidRPr="00F3706B">
              <w:t xml:space="preserve"> to </w:t>
            </w:r>
            <w:r w:rsidR="00C5378E" w:rsidRPr="00F3706B">
              <w:t>GSMA Networks Group (</w:t>
            </w:r>
            <w:r w:rsidR="00873EB1" w:rsidRPr="00F3706B">
              <w:t>NG</w:t>
            </w:r>
            <w:r w:rsidR="00C5378E" w:rsidRPr="00F3706B">
              <w:t>)</w:t>
            </w:r>
            <w:r w:rsidR="00F3706B" w:rsidRPr="00F3706B">
              <w:t>, Fraud and Security Architecture Group (FSAG)</w:t>
            </w:r>
          </w:p>
        </w:tc>
      </w:tr>
      <w:tr w:rsidR="00E21141" w:rsidRPr="00F3706B" w14:paraId="5BBCCB43"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1473BA0" w14:textId="77777777" w:rsidR="00E21141" w:rsidRPr="00F3706B" w:rsidRDefault="00E21141">
            <w:pPr>
              <w:pStyle w:val="TableText"/>
            </w:pPr>
            <w:r w:rsidRPr="00F3706B">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4C7455D" w14:textId="77777777" w:rsidR="00E21141" w:rsidRPr="00F3706B" w:rsidRDefault="00531443">
            <w:pPr>
              <w:pStyle w:val="TableText"/>
            </w:pPr>
            <w:r w:rsidRPr="00F3706B">
              <w:t>3GPP SA3</w:t>
            </w:r>
          </w:p>
        </w:tc>
      </w:tr>
    </w:tbl>
    <w:p w14:paraId="74CEB84E" w14:textId="77777777" w:rsidR="00E21141" w:rsidRPr="00F3706B" w:rsidRDefault="00E21141" w:rsidP="003E4579">
      <w:pPr>
        <w:pStyle w:val="NormalParagraph"/>
      </w:pPr>
    </w:p>
    <w:p w14:paraId="398188EA" w14:textId="77777777" w:rsidR="00477CD5" w:rsidRPr="00F3706B" w:rsidRDefault="00477CD5" w:rsidP="003E4579">
      <w:pPr>
        <w:pStyle w:val="NormalParagraph"/>
      </w:pPr>
    </w:p>
    <w:p w14:paraId="396E4729" w14:textId="43EE46DB" w:rsidR="00944378" w:rsidRPr="00F3706B" w:rsidRDefault="00E21141" w:rsidP="00C21179">
      <w:pPr>
        <w:pStyle w:val="Heading1"/>
      </w:pPr>
      <w:r w:rsidRPr="00F3706B">
        <w:br w:type="page"/>
      </w:r>
      <w:bookmarkEnd w:id="0"/>
      <w:bookmarkEnd w:id="1"/>
      <w:bookmarkEnd w:id="2"/>
      <w:r w:rsidR="00956C19" w:rsidRPr="00F3706B">
        <w:lastRenderedPageBreak/>
        <w:t>Diameter IPX Network End-to-End Security Solution</w:t>
      </w:r>
    </w:p>
    <w:bookmarkEnd w:id="3"/>
    <w:p w14:paraId="6BD0F60A" w14:textId="34C66B4A" w:rsidR="00956C19" w:rsidRPr="00F3706B" w:rsidRDefault="00840DE4" w:rsidP="009C4875">
      <w:pPr>
        <w:pStyle w:val="NormalParagraph"/>
      </w:pPr>
      <w:r w:rsidRPr="00F3706B">
        <w:t>The working group</w:t>
      </w:r>
      <w:r w:rsidR="00F160A0" w:rsidRPr="00F3706B">
        <w:t xml:space="preserve"> </w:t>
      </w:r>
      <w:r w:rsidR="00956C19" w:rsidRPr="00F3706B">
        <w:rPr>
          <w:b/>
        </w:rPr>
        <w:t>Diameter End-to-End Security Solution (DESS)</w:t>
      </w:r>
      <w:r w:rsidR="00F160A0" w:rsidRPr="00F3706B">
        <w:t xml:space="preserve"> consists of members of the GSMA Fraud and Security Group (FASG)</w:t>
      </w:r>
      <w:r w:rsidR="00DE5A07" w:rsidRPr="00F3706B">
        <w:t xml:space="preserve">. </w:t>
      </w:r>
      <w:r w:rsidR="00C5378E" w:rsidRPr="00F3706B">
        <w:t xml:space="preserve">In early 2018 </w:t>
      </w:r>
      <w:r w:rsidR="00956C19" w:rsidRPr="00F3706B">
        <w:t>t</w:t>
      </w:r>
      <w:r w:rsidR="00DE5A07" w:rsidRPr="00F3706B">
        <w:t>his group</w:t>
      </w:r>
      <w:r w:rsidRPr="00F3706B">
        <w:t xml:space="preserve"> </w:t>
      </w:r>
      <w:r w:rsidR="00956C19" w:rsidRPr="00F3706B">
        <w:t>liaised with 3GPP SA3 about the “Requirements for e2e core network interconnection security” for 5G in TS 33.501.</w:t>
      </w:r>
    </w:p>
    <w:p w14:paraId="56ACB4AD" w14:textId="5F3EA8D4" w:rsidR="00F160A0" w:rsidRPr="00F3706B" w:rsidRDefault="00956C19" w:rsidP="00026ED9">
      <w:pPr>
        <w:pStyle w:val="NormalParagraph"/>
      </w:pPr>
      <w:r w:rsidRPr="00F3706B">
        <w:t xml:space="preserve">Now DESS </w:t>
      </w:r>
      <w:r w:rsidR="00DE5A07" w:rsidRPr="00F3706B">
        <w:t xml:space="preserve">has </w:t>
      </w:r>
      <w:r w:rsidRPr="00F3706B">
        <w:t xml:space="preserve">drafted the </w:t>
      </w:r>
      <w:r w:rsidR="00840DE4" w:rsidRPr="00F3706B">
        <w:t xml:space="preserve">guidelines for </w:t>
      </w:r>
      <w:r w:rsidRPr="00F3706B">
        <w:t>a corresponding IPX network end-to-end security solution with Diameter</w:t>
      </w:r>
      <w:r w:rsidR="00840DE4" w:rsidRPr="00F3706B">
        <w:t xml:space="preserve"> </w:t>
      </w:r>
      <w:bookmarkStart w:id="5" w:name="_Toc524553341"/>
      <w:bookmarkStart w:id="6" w:name="_Toc3993096"/>
      <w:r w:rsidR="009F5A7D" w:rsidRPr="00F3706B">
        <w:t>for LTE</w:t>
      </w:r>
      <w:bookmarkEnd w:id="5"/>
      <w:bookmarkEnd w:id="6"/>
      <w:r w:rsidR="00C5378E" w:rsidRPr="00F3706B">
        <w:t xml:space="preserve"> networks</w:t>
      </w:r>
      <w:r w:rsidR="009F5A7D" w:rsidRPr="00F3706B">
        <w:t>.</w:t>
      </w:r>
      <w:r w:rsidR="00026ED9" w:rsidRPr="00F3706B">
        <w:t xml:space="preserve"> Because such a solution is of particular and immediate interest for GSMA members, DESS has taken the approach of defining a proposed solution before sharing this output with 3GPP SA3.</w:t>
      </w:r>
    </w:p>
    <w:p w14:paraId="499EF981" w14:textId="01DFBDF0" w:rsidR="00B4251D" w:rsidRPr="00F3706B" w:rsidRDefault="00010336" w:rsidP="009C4875">
      <w:pPr>
        <w:pStyle w:val="NormalParagraph"/>
      </w:pPr>
      <w:r w:rsidRPr="00F3706B">
        <w:t xml:space="preserve">Extensions to the use of Diameter on the mobile network, particularly the </w:t>
      </w:r>
      <w:r w:rsidR="0048776D" w:rsidRPr="00F3706B">
        <w:t>introduction</w:t>
      </w:r>
      <w:r w:rsidR="00A34164" w:rsidRPr="00F3706B">
        <w:t xml:space="preserve"> of</w:t>
      </w:r>
      <w:r w:rsidRPr="00F3706B">
        <w:t xml:space="preserve"> </w:t>
      </w:r>
      <w:r w:rsidR="00C5378E" w:rsidRPr="00F3706B">
        <w:t xml:space="preserve">the </w:t>
      </w:r>
      <w:r w:rsidRPr="00F3706B">
        <w:t>S6</w:t>
      </w:r>
      <w:r w:rsidR="00A34164" w:rsidRPr="00F3706B">
        <w:t>c</w:t>
      </w:r>
      <w:r w:rsidRPr="00F3706B">
        <w:t xml:space="preserve"> interface</w:t>
      </w:r>
      <w:r w:rsidR="00A34164" w:rsidRPr="00F3706B">
        <w:t xml:space="preserve"> </w:t>
      </w:r>
      <w:r w:rsidRPr="00F3706B">
        <w:t xml:space="preserve">to transmit SMS messages over Diameter, require the introduction of adequate security controls. </w:t>
      </w:r>
    </w:p>
    <w:p w14:paraId="05403285" w14:textId="01269D17" w:rsidR="00F2536F" w:rsidRPr="00F3706B" w:rsidRDefault="009F5A7D" w:rsidP="009C4875">
      <w:pPr>
        <w:pStyle w:val="NormalParagraph"/>
        <w:rPr>
          <w:rFonts w:cs="Arial"/>
        </w:rPr>
      </w:pPr>
      <w:r w:rsidRPr="00F3706B">
        <w:t xml:space="preserve">Although </w:t>
      </w:r>
      <w:r w:rsidRPr="00F3706B">
        <w:rPr>
          <w:rFonts w:cs="Arial"/>
        </w:rPr>
        <w:t xml:space="preserve">DESS strived for close alignment with the ‘security by design’ solution for 5G, there are technical and operational considerations that hinder the implementation of </w:t>
      </w:r>
      <w:r w:rsidR="00510B3F" w:rsidRPr="00F3706B">
        <w:rPr>
          <w:rFonts w:cs="Arial"/>
        </w:rPr>
        <w:t>exactly</w:t>
      </w:r>
      <w:r w:rsidRPr="00F3706B">
        <w:rPr>
          <w:rFonts w:cs="Arial"/>
        </w:rPr>
        <w:t xml:space="preserve"> the same mechanism in Diameter</w:t>
      </w:r>
      <w:r w:rsidR="00B2432E" w:rsidRPr="00F3706B">
        <w:rPr>
          <w:rFonts w:cs="Arial"/>
        </w:rPr>
        <w:t>, as follows</w:t>
      </w:r>
      <w:r w:rsidRPr="00F3706B">
        <w:rPr>
          <w:rFonts w:cs="Arial"/>
        </w:rPr>
        <w:t xml:space="preserve">: </w:t>
      </w:r>
    </w:p>
    <w:p w14:paraId="65827B35" w14:textId="41652C49" w:rsidR="00233E20" w:rsidRPr="008C1B2C" w:rsidRDefault="009F5A7D"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solution needs to be ‘light </w:t>
      </w:r>
      <w:r w:rsidR="00F07415" w:rsidRPr="008C1B2C">
        <w:rPr>
          <w:rFonts w:ascii="Arial" w:hAnsi="Arial" w:cs="Arial"/>
          <w:sz w:val="22"/>
          <w:szCs w:val="22"/>
          <w:lang w:val="en-GB"/>
        </w:rPr>
        <w:t xml:space="preserve">touch’ </w:t>
      </w:r>
      <w:r w:rsidRPr="008C1B2C">
        <w:rPr>
          <w:rFonts w:ascii="Arial" w:hAnsi="Arial" w:cs="Arial"/>
          <w:sz w:val="22"/>
          <w:szCs w:val="22"/>
          <w:lang w:val="en-GB"/>
        </w:rPr>
        <w:t>in order to limit the impact and investments for operators to add the DESS solution in the already existing Diameter networks</w:t>
      </w:r>
      <w:r w:rsidR="00F07415" w:rsidRPr="008C1B2C">
        <w:rPr>
          <w:rFonts w:ascii="Arial" w:hAnsi="Arial" w:cs="Arial"/>
          <w:sz w:val="22"/>
          <w:szCs w:val="22"/>
          <w:lang w:val="en-GB"/>
        </w:rPr>
        <w:t>,</w:t>
      </w:r>
      <w:r w:rsidRPr="008C1B2C">
        <w:rPr>
          <w:rFonts w:ascii="Arial" w:hAnsi="Arial" w:cs="Arial"/>
          <w:sz w:val="22"/>
          <w:szCs w:val="22"/>
          <w:lang w:val="en-GB"/>
        </w:rPr>
        <w:t xml:space="preserve"> like the avoidance </w:t>
      </w:r>
      <w:r w:rsidR="0056049E" w:rsidRPr="008C1B2C">
        <w:rPr>
          <w:rFonts w:ascii="Arial" w:hAnsi="Arial" w:cs="Arial"/>
          <w:sz w:val="22"/>
          <w:szCs w:val="22"/>
          <w:lang w:val="en-GB"/>
        </w:rPr>
        <w:t xml:space="preserve">of </w:t>
      </w:r>
      <w:r w:rsidRPr="008C1B2C">
        <w:rPr>
          <w:rFonts w:ascii="Arial" w:hAnsi="Arial" w:cs="Arial"/>
          <w:sz w:val="22"/>
          <w:szCs w:val="22"/>
          <w:lang w:val="en-GB"/>
        </w:rPr>
        <w:t xml:space="preserve">backward incompatibility issues with </w:t>
      </w:r>
      <w:r w:rsidR="0056049E" w:rsidRPr="008C1B2C">
        <w:rPr>
          <w:rFonts w:ascii="Arial" w:hAnsi="Arial" w:cs="Arial"/>
          <w:sz w:val="22"/>
          <w:szCs w:val="22"/>
          <w:lang w:val="en-GB"/>
        </w:rPr>
        <w:t xml:space="preserve">the routing of Diameter messages </w:t>
      </w:r>
      <w:r w:rsidR="00974C3F" w:rsidRPr="008C1B2C">
        <w:rPr>
          <w:rFonts w:ascii="Arial" w:hAnsi="Arial" w:cs="Arial"/>
          <w:sz w:val="22"/>
          <w:szCs w:val="22"/>
          <w:lang w:val="en-GB"/>
        </w:rPr>
        <w:t>via</w:t>
      </w:r>
      <w:r w:rsidR="0056049E" w:rsidRPr="008C1B2C">
        <w:rPr>
          <w:rFonts w:ascii="Arial" w:hAnsi="Arial" w:cs="Arial"/>
          <w:sz w:val="22"/>
          <w:szCs w:val="22"/>
          <w:lang w:val="en-GB"/>
        </w:rPr>
        <w:t xml:space="preserve"> present </w:t>
      </w:r>
      <w:r w:rsidRPr="008C1B2C">
        <w:rPr>
          <w:rFonts w:ascii="Arial" w:hAnsi="Arial" w:cs="Arial"/>
          <w:sz w:val="22"/>
          <w:szCs w:val="22"/>
          <w:lang w:val="en-GB"/>
        </w:rPr>
        <w:t>DRA</w:t>
      </w:r>
      <w:r w:rsidR="0056049E" w:rsidRPr="008C1B2C">
        <w:rPr>
          <w:rFonts w:ascii="Arial" w:hAnsi="Arial" w:cs="Arial"/>
          <w:sz w:val="22"/>
          <w:szCs w:val="22"/>
          <w:lang w:val="en-GB"/>
        </w:rPr>
        <w:t xml:space="preserve"> implementation</w:t>
      </w:r>
      <w:r w:rsidRPr="008C1B2C">
        <w:rPr>
          <w:rFonts w:ascii="Arial" w:hAnsi="Arial" w:cs="Arial"/>
          <w:sz w:val="22"/>
          <w:szCs w:val="22"/>
          <w:lang w:val="en-GB"/>
        </w:rPr>
        <w:t>s</w:t>
      </w:r>
      <w:r w:rsidR="00233E20" w:rsidRPr="008C1B2C">
        <w:rPr>
          <w:rFonts w:ascii="Arial" w:hAnsi="Arial" w:cs="Arial"/>
          <w:sz w:val="22"/>
          <w:szCs w:val="22"/>
          <w:lang w:val="en-GB"/>
        </w:rPr>
        <w:t>.</w:t>
      </w:r>
    </w:p>
    <w:p w14:paraId="2320ADF2" w14:textId="0ADE0141" w:rsidR="0056049E" w:rsidRPr="008C1B2C" w:rsidRDefault="00B2432E"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The solution need</w:t>
      </w:r>
      <w:r w:rsidR="008C1B2C">
        <w:rPr>
          <w:rFonts w:ascii="Arial" w:hAnsi="Arial" w:cs="Arial"/>
          <w:sz w:val="22"/>
          <w:szCs w:val="22"/>
          <w:lang w:val="en-GB"/>
        </w:rPr>
        <w:t>s</w:t>
      </w:r>
      <w:r w:rsidRPr="008C1B2C">
        <w:rPr>
          <w:rFonts w:ascii="Arial" w:hAnsi="Arial" w:cs="Arial"/>
          <w:sz w:val="22"/>
          <w:szCs w:val="22"/>
          <w:lang w:val="en-GB"/>
        </w:rPr>
        <w:t xml:space="preserve"> to avoid </w:t>
      </w:r>
      <w:r w:rsidR="0056049E" w:rsidRPr="008C1B2C">
        <w:rPr>
          <w:rFonts w:ascii="Arial" w:hAnsi="Arial" w:cs="Arial"/>
          <w:sz w:val="22"/>
          <w:szCs w:val="22"/>
          <w:lang w:val="en-GB"/>
        </w:rPr>
        <w:t>frustrating the existing practices of IPX providers</w:t>
      </w:r>
      <w:r w:rsidRPr="008C1B2C">
        <w:rPr>
          <w:rFonts w:ascii="Arial" w:hAnsi="Arial" w:cs="Arial"/>
          <w:sz w:val="22"/>
          <w:szCs w:val="22"/>
          <w:lang w:val="en-GB"/>
        </w:rPr>
        <w:t>. These practices</w:t>
      </w:r>
      <w:r w:rsidR="0056049E" w:rsidRPr="008C1B2C">
        <w:rPr>
          <w:rFonts w:ascii="Arial" w:hAnsi="Arial" w:cs="Arial"/>
          <w:sz w:val="22"/>
          <w:szCs w:val="22"/>
          <w:lang w:val="en-GB"/>
        </w:rPr>
        <w:t xml:space="preserve"> may include corrective actions like the insertion of missing routing information, </w:t>
      </w:r>
      <w:r w:rsidR="00974C3F" w:rsidRPr="008C1B2C">
        <w:rPr>
          <w:rFonts w:ascii="Arial" w:hAnsi="Arial" w:cs="Arial"/>
          <w:sz w:val="22"/>
          <w:szCs w:val="22"/>
          <w:lang w:val="en-GB"/>
        </w:rPr>
        <w:t xml:space="preserve">filtering actions </w:t>
      </w:r>
      <w:r w:rsidR="0056049E" w:rsidRPr="008C1B2C">
        <w:rPr>
          <w:rFonts w:ascii="Arial" w:hAnsi="Arial" w:cs="Arial"/>
          <w:sz w:val="22"/>
          <w:szCs w:val="22"/>
          <w:lang w:val="en-GB"/>
        </w:rPr>
        <w:t xml:space="preserve">or modifications based on </w:t>
      </w:r>
      <w:r w:rsidR="00974C3F" w:rsidRPr="008C1B2C">
        <w:rPr>
          <w:rFonts w:ascii="Arial" w:hAnsi="Arial" w:cs="Arial"/>
          <w:sz w:val="22"/>
          <w:szCs w:val="22"/>
          <w:lang w:val="en-GB"/>
        </w:rPr>
        <w:t>specific</w:t>
      </w:r>
      <w:r w:rsidR="0056049E" w:rsidRPr="008C1B2C">
        <w:rPr>
          <w:rFonts w:ascii="Arial" w:hAnsi="Arial" w:cs="Arial"/>
          <w:sz w:val="22"/>
          <w:szCs w:val="22"/>
          <w:lang w:val="en-GB"/>
        </w:rPr>
        <w:t xml:space="preserve"> </w:t>
      </w:r>
      <w:r w:rsidR="00974C3F" w:rsidRPr="008C1B2C">
        <w:rPr>
          <w:rFonts w:ascii="Arial" w:hAnsi="Arial" w:cs="Arial"/>
          <w:sz w:val="22"/>
          <w:szCs w:val="22"/>
          <w:lang w:val="en-GB"/>
        </w:rPr>
        <w:t xml:space="preserve">service </w:t>
      </w:r>
      <w:r w:rsidR="0056049E" w:rsidRPr="008C1B2C">
        <w:rPr>
          <w:rFonts w:ascii="Arial" w:hAnsi="Arial" w:cs="Arial"/>
          <w:sz w:val="22"/>
          <w:szCs w:val="22"/>
          <w:lang w:val="en-GB"/>
        </w:rPr>
        <w:t>policies.</w:t>
      </w:r>
    </w:p>
    <w:p w14:paraId="26AA6ED0" w14:textId="6F5D58FE" w:rsidR="004E62A8" w:rsidRPr="008C1B2C" w:rsidRDefault="00F924C0"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w:t>
      </w:r>
      <w:r w:rsidR="00B2432E" w:rsidRPr="008C1B2C">
        <w:rPr>
          <w:rFonts w:ascii="Arial" w:hAnsi="Arial" w:cs="Arial"/>
          <w:sz w:val="22"/>
          <w:szCs w:val="22"/>
          <w:lang w:val="en-GB"/>
        </w:rPr>
        <w:t xml:space="preserve">short lead </w:t>
      </w:r>
      <w:r w:rsidRPr="008C1B2C">
        <w:rPr>
          <w:rFonts w:ascii="Arial" w:hAnsi="Arial" w:cs="Arial"/>
          <w:sz w:val="22"/>
          <w:szCs w:val="22"/>
          <w:lang w:val="en-GB"/>
        </w:rPr>
        <w:t xml:space="preserve">time </w:t>
      </w:r>
      <w:r w:rsidR="00B2432E" w:rsidRPr="008C1B2C">
        <w:rPr>
          <w:rFonts w:ascii="Arial" w:hAnsi="Arial" w:cs="Arial"/>
          <w:sz w:val="22"/>
          <w:szCs w:val="22"/>
          <w:lang w:val="en-GB"/>
        </w:rPr>
        <w:t xml:space="preserve">desired </w:t>
      </w:r>
      <w:r w:rsidRPr="008C1B2C">
        <w:rPr>
          <w:rFonts w:ascii="Arial" w:hAnsi="Arial" w:cs="Arial"/>
          <w:sz w:val="22"/>
          <w:szCs w:val="22"/>
          <w:lang w:val="en-GB"/>
        </w:rPr>
        <w:t>for implementation and rollout of the solution</w:t>
      </w:r>
      <w:r w:rsidR="00B2432E" w:rsidRPr="008C1B2C">
        <w:rPr>
          <w:rFonts w:ascii="Arial" w:hAnsi="Arial" w:cs="Arial"/>
          <w:sz w:val="22"/>
          <w:szCs w:val="22"/>
          <w:lang w:val="en-GB"/>
        </w:rPr>
        <w:t>,</w:t>
      </w:r>
      <w:r w:rsidRPr="008C1B2C">
        <w:rPr>
          <w:rFonts w:ascii="Arial" w:hAnsi="Arial" w:cs="Arial"/>
          <w:sz w:val="22"/>
          <w:szCs w:val="22"/>
          <w:lang w:val="en-GB"/>
        </w:rPr>
        <w:t xml:space="preserve"> considering</w:t>
      </w:r>
      <w:r w:rsidR="001D53CF" w:rsidRPr="008C1B2C">
        <w:rPr>
          <w:rFonts w:ascii="Arial" w:hAnsi="Arial" w:cs="Arial"/>
          <w:sz w:val="22"/>
          <w:szCs w:val="22"/>
          <w:lang w:val="en-GB"/>
        </w:rPr>
        <w:t xml:space="preserve"> </w:t>
      </w:r>
      <w:r w:rsidR="00B2432E" w:rsidRPr="008C1B2C">
        <w:rPr>
          <w:rFonts w:ascii="Arial" w:hAnsi="Arial" w:cs="Arial"/>
          <w:sz w:val="22"/>
          <w:szCs w:val="22"/>
          <w:lang w:val="en-GB"/>
        </w:rPr>
        <w:t xml:space="preserve">that </w:t>
      </w:r>
      <w:r w:rsidR="001D53CF" w:rsidRPr="008C1B2C">
        <w:rPr>
          <w:rFonts w:ascii="Arial" w:hAnsi="Arial" w:cs="Arial"/>
          <w:sz w:val="22"/>
          <w:szCs w:val="22"/>
          <w:lang w:val="en-GB"/>
        </w:rPr>
        <w:t>Diameter is a key protocol in 4G for use cases like</w:t>
      </w:r>
      <w:r w:rsidR="004E62A8" w:rsidRPr="008C1B2C">
        <w:rPr>
          <w:rFonts w:ascii="Arial" w:hAnsi="Arial" w:cs="Arial"/>
          <w:sz w:val="22"/>
          <w:szCs w:val="22"/>
          <w:lang w:val="en-GB"/>
        </w:rPr>
        <w:t>:</w:t>
      </w:r>
    </w:p>
    <w:p w14:paraId="28EAA3D6" w14:textId="7B39C866" w:rsidR="004E62A8" w:rsidRPr="008C1B2C" w:rsidRDefault="004E62A8"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Support of IoT</w:t>
      </w:r>
      <w:r w:rsidR="001D53CF" w:rsidRPr="008C1B2C">
        <w:rPr>
          <w:rFonts w:ascii="Arial" w:hAnsi="Arial" w:cs="Arial"/>
          <w:sz w:val="22"/>
          <w:szCs w:val="22"/>
          <w:lang w:val="en-GB"/>
        </w:rPr>
        <w:t xml:space="preserve"> </w:t>
      </w:r>
      <w:r w:rsidR="00564D22" w:rsidRPr="008C1B2C">
        <w:rPr>
          <w:rFonts w:ascii="Arial" w:hAnsi="Arial" w:cs="Arial"/>
          <w:sz w:val="22"/>
          <w:szCs w:val="22"/>
          <w:lang w:val="en-GB"/>
        </w:rPr>
        <w:t xml:space="preserve">services with the Diameter T7 interface </w:t>
      </w:r>
      <w:r w:rsidR="001D53CF" w:rsidRPr="008C1B2C">
        <w:rPr>
          <w:rFonts w:ascii="Arial" w:hAnsi="Arial" w:cs="Arial"/>
          <w:sz w:val="22"/>
          <w:szCs w:val="22"/>
          <w:lang w:val="en-GB"/>
        </w:rPr>
        <w:t>between SCEF and IWK-SCEF for interworking with packet networks and applications</w:t>
      </w:r>
    </w:p>
    <w:p w14:paraId="120E1205" w14:textId="453CA520" w:rsidR="001D53CF" w:rsidRPr="008C1B2C" w:rsidRDefault="00B2432E"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 xml:space="preserve">Support </w:t>
      </w:r>
      <w:r w:rsidR="001D53CF" w:rsidRPr="008C1B2C">
        <w:rPr>
          <w:rFonts w:ascii="Arial" w:hAnsi="Arial" w:cs="Arial"/>
          <w:sz w:val="22"/>
          <w:szCs w:val="22"/>
          <w:lang w:val="en-GB"/>
        </w:rPr>
        <w:t xml:space="preserve">of </w:t>
      </w:r>
      <w:r w:rsidRPr="008C1B2C">
        <w:rPr>
          <w:rFonts w:ascii="Arial" w:hAnsi="Arial" w:cs="Arial"/>
          <w:sz w:val="22"/>
          <w:szCs w:val="22"/>
          <w:lang w:val="en-GB"/>
        </w:rPr>
        <w:t>l</w:t>
      </w:r>
      <w:r w:rsidR="001D53CF" w:rsidRPr="008C1B2C">
        <w:rPr>
          <w:rFonts w:ascii="Arial" w:hAnsi="Arial" w:cs="Arial"/>
          <w:sz w:val="22"/>
          <w:szCs w:val="22"/>
          <w:lang w:val="en-GB"/>
        </w:rPr>
        <w:t>ocation services with the Diameter SLg interface between GMLC and MME.</w:t>
      </w:r>
    </w:p>
    <w:p w14:paraId="7AEC9098" w14:textId="42978CB9" w:rsidR="00F924C0" w:rsidRPr="008C1B2C" w:rsidRDefault="004E62A8" w:rsidP="008C1B2C">
      <w:pPr>
        <w:pStyle w:val="NormalWeb"/>
        <w:numPr>
          <w:ilvl w:val="0"/>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The availability of t</w:t>
      </w:r>
      <w:r w:rsidR="00F924C0" w:rsidRPr="008C1B2C">
        <w:rPr>
          <w:rFonts w:ascii="Arial" w:hAnsi="Arial" w:cs="Arial"/>
          <w:sz w:val="22"/>
          <w:szCs w:val="22"/>
          <w:lang w:val="en-GB"/>
        </w:rPr>
        <w:t xml:space="preserve">his </w:t>
      </w:r>
      <w:r w:rsidRPr="008C1B2C">
        <w:rPr>
          <w:rFonts w:ascii="Arial" w:hAnsi="Arial" w:cs="Arial"/>
          <w:sz w:val="22"/>
          <w:szCs w:val="22"/>
          <w:lang w:val="en-GB"/>
        </w:rPr>
        <w:t xml:space="preserve">security solution </w:t>
      </w:r>
      <w:r w:rsidR="00F924C0" w:rsidRPr="008C1B2C">
        <w:rPr>
          <w:rFonts w:ascii="Arial" w:hAnsi="Arial" w:cs="Arial"/>
          <w:sz w:val="22"/>
          <w:szCs w:val="22"/>
          <w:lang w:val="en-GB"/>
        </w:rPr>
        <w:t xml:space="preserve">is </w:t>
      </w:r>
      <w:r w:rsidRPr="008C1B2C">
        <w:rPr>
          <w:rFonts w:ascii="Arial" w:hAnsi="Arial" w:cs="Arial"/>
          <w:sz w:val="22"/>
          <w:szCs w:val="22"/>
          <w:lang w:val="en-GB"/>
        </w:rPr>
        <w:t xml:space="preserve">a prerequisite </w:t>
      </w:r>
      <w:r w:rsidR="00F924C0" w:rsidRPr="008C1B2C">
        <w:rPr>
          <w:rFonts w:ascii="Arial" w:hAnsi="Arial" w:cs="Arial"/>
          <w:sz w:val="22"/>
          <w:szCs w:val="22"/>
          <w:lang w:val="en-GB"/>
        </w:rPr>
        <w:t xml:space="preserve">for SMS support via Diameter interconnections because of the fraud risks </w:t>
      </w:r>
      <w:r w:rsidR="003E2F0B" w:rsidRPr="008C1B2C">
        <w:rPr>
          <w:rFonts w:ascii="Arial" w:hAnsi="Arial" w:cs="Arial"/>
          <w:sz w:val="22"/>
          <w:szCs w:val="22"/>
          <w:lang w:val="en-GB"/>
        </w:rPr>
        <w:t xml:space="preserve">that </w:t>
      </w:r>
      <w:r w:rsidR="00F924C0" w:rsidRPr="008C1B2C">
        <w:rPr>
          <w:rFonts w:ascii="Arial" w:hAnsi="Arial" w:cs="Arial"/>
          <w:sz w:val="22"/>
          <w:szCs w:val="22"/>
          <w:lang w:val="en-GB"/>
        </w:rPr>
        <w:t>SMS</w:t>
      </w:r>
      <w:r w:rsidR="003E2F0B" w:rsidRPr="008C1B2C">
        <w:rPr>
          <w:rFonts w:ascii="Arial" w:hAnsi="Arial" w:cs="Arial"/>
          <w:sz w:val="22"/>
          <w:szCs w:val="22"/>
          <w:lang w:val="en-GB"/>
        </w:rPr>
        <w:t xml:space="preserve"> entails</w:t>
      </w:r>
      <w:r w:rsidR="00F924C0" w:rsidRPr="008C1B2C">
        <w:rPr>
          <w:rFonts w:ascii="Arial" w:hAnsi="Arial" w:cs="Arial"/>
          <w:sz w:val="22"/>
          <w:szCs w:val="22"/>
          <w:lang w:val="en-GB"/>
        </w:rPr>
        <w:t>.</w:t>
      </w:r>
    </w:p>
    <w:p w14:paraId="406A3B9F" w14:textId="4AFE75B7" w:rsidR="00233E20" w:rsidRPr="00F3706B" w:rsidRDefault="00974C3F" w:rsidP="009C4875">
      <w:pPr>
        <w:pStyle w:val="NormalParagraph"/>
      </w:pPr>
      <w:r w:rsidRPr="00F3706B">
        <w:rPr>
          <w:rFonts w:cs="Arial"/>
        </w:rPr>
        <w:t>Consequently, DESS made a comprehensive evaluation of different implementation options based on criteria</w:t>
      </w:r>
      <w:r w:rsidR="002027AF" w:rsidRPr="00F3706B">
        <w:rPr>
          <w:rFonts w:cs="Arial"/>
        </w:rPr>
        <w:t>,</w:t>
      </w:r>
      <w:r w:rsidRPr="00F3706B">
        <w:rPr>
          <w:rFonts w:cs="Arial"/>
        </w:rPr>
        <w:t xml:space="preserve"> including </w:t>
      </w:r>
      <w:r w:rsidR="00F924C0" w:rsidRPr="00F3706B">
        <w:rPr>
          <w:rFonts w:cs="Arial"/>
        </w:rPr>
        <w:t xml:space="preserve">backward compatibility, </w:t>
      </w:r>
      <w:r w:rsidR="00B2432E" w:rsidRPr="00F3706B">
        <w:rPr>
          <w:rFonts w:cs="Arial"/>
        </w:rPr>
        <w:t>General Data Protection Regulations (</w:t>
      </w:r>
      <w:r w:rsidR="00F924C0" w:rsidRPr="00F3706B">
        <w:rPr>
          <w:rFonts w:cs="Arial"/>
        </w:rPr>
        <w:t>GDPR</w:t>
      </w:r>
      <w:r w:rsidR="00B2432E" w:rsidRPr="00F3706B">
        <w:rPr>
          <w:rFonts w:cs="Arial"/>
        </w:rPr>
        <w:t>)</w:t>
      </w:r>
      <w:r w:rsidR="00F924C0" w:rsidRPr="00F3706B">
        <w:rPr>
          <w:rFonts w:cs="Arial"/>
        </w:rPr>
        <w:t xml:space="preserve"> compliance, </w:t>
      </w:r>
      <w:r w:rsidR="00B2432E" w:rsidRPr="00F3706B">
        <w:rPr>
          <w:rFonts w:cs="Arial"/>
        </w:rPr>
        <w:t>perfect forward secrecy (</w:t>
      </w:r>
      <w:r w:rsidR="00F924C0" w:rsidRPr="00F3706B">
        <w:rPr>
          <w:rFonts w:cs="Arial"/>
        </w:rPr>
        <w:t>PFS</w:t>
      </w:r>
      <w:r w:rsidR="00B2432E" w:rsidRPr="00F3706B">
        <w:rPr>
          <w:rFonts w:cs="Arial"/>
        </w:rPr>
        <w:t>)</w:t>
      </w:r>
      <w:r w:rsidR="00F924C0" w:rsidRPr="00F3706B">
        <w:rPr>
          <w:rFonts w:cs="Arial"/>
        </w:rPr>
        <w:t xml:space="preserve"> support, time for implementation and rollout</w:t>
      </w:r>
      <w:r w:rsidRPr="00F3706B">
        <w:t xml:space="preserve">, </w:t>
      </w:r>
      <w:r w:rsidR="00F924C0" w:rsidRPr="00F3706B">
        <w:t xml:space="preserve">and </w:t>
      </w:r>
      <w:r w:rsidRPr="00F3706B">
        <w:t xml:space="preserve">asymmetric </w:t>
      </w:r>
      <w:r w:rsidR="002027AF" w:rsidRPr="00F3706B">
        <w:t xml:space="preserve">versus </w:t>
      </w:r>
      <w:r w:rsidRPr="00F3706B">
        <w:t xml:space="preserve">symmetric </w:t>
      </w:r>
      <w:r w:rsidR="003E2F0B" w:rsidRPr="00F3706B">
        <w:t>cryptography</w:t>
      </w:r>
      <w:r w:rsidR="00F924C0" w:rsidRPr="00F3706B">
        <w:t>.</w:t>
      </w:r>
    </w:p>
    <w:p w14:paraId="7136A66D" w14:textId="4AB1700C" w:rsidR="00331D6B" w:rsidRPr="00F3706B" w:rsidRDefault="00F924C0" w:rsidP="009C4875">
      <w:pPr>
        <w:pStyle w:val="NormalParagraph"/>
      </w:pPr>
      <w:r w:rsidRPr="00F3706B">
        <w:t>As a result</w:t>
      </w:r>
      <w:r w:rsidR="002027AF" w:rsidRPr="00F3706B">
        <w:t>,</w:t>
      </w:r>
      <w:r w:rsidR="00331D6B" w:rsidRPr="00F3706B">
        <w:t xml:space="preserve"> the following implementation principles were </w:t>
      </w:r>
      <w:r w:rsidR="007A3167" w:rsidRPr="00F3706B">
        <w:t>agreed for the end-to-end protection mechanism with Diameter:</w:t>
      </w:r>
    </w:p>
    <w:p w14:paraId="6142869A" w14:textId="63C933D0" w:rsidR="00F924C0" w:rsidRPr="00F3706B" w:rsidRDefault="00331D6B" w:rsidP="008C1B2C">
      <w:pPr>
        <w:pStyle w:val="NormalParagraph"/>
        <w:numPr>
          <w:ilvl w:val="0"/>
          <w:numId w:val="15"/>
        </w:numPr>
      </w:pPr>
      <w:r w:rsidRPr="00F3706B">
        <w:t>F</w:t>
      </w:r>
      <w:r w:rsidR="0089207D" w:rsidRPr="00F3706B">
        <w:t xml:space="preserve">or confidentiality protection a solution </w:t>
      </w:r>
      <w:r w:rsidRPr="00F3706B">
        <w:t xml:space="preserve">using </w:t>
      </w:r>
      <w:r w:rsidR="0089207D" w:rsidRPr="00F3706B">
        <w:t>s</w:t>
      </w:r>
      <w:r w:rsidR="00F924C0" w:rsidRPr="00F3706B">
        <w:t xml:space="preserve">ymmetric </w:t>
      </w:r>
      <w:r w:rsidR="0089207D" w:rsidRPr="00F3706B">
        <w:t>e</w:t>
      </w:r>
      <w:r w:rsidR="00F924C0" w:rsidRPr="00F3706B">
        <w:t xml:space="preserve">ncryption with </w:t>
      </w:r>
      <w:r w:rsidR="003E2F0B" w:rsidRPr="00F3706B">
        <w:t xml:space="preserve">an asymmetric </w:t>
      </w:r>
      <w:r w:rsidR="00F924C0" w:rsidRPr="00F3706B">
        <w:t>handshake within Diameter</w:t>
      </w:r>
      <w:r w:rsidRPr="00F3706B">
        <w:t xml:space="preserve"> to have a simple key management process</w:t>
      </w:r>
      <w:r w:rsidR="00010336" w:rsidRPr="00F3706B">
        <w:t xml:space="preserve"> </w:t>
      </w:r>
      <w:r w:rsidR="00010336" w:rsidRPr="00F3706B">
        <w:lastRenderedPageBreak/>
        <w:t>was defined.</w:t>
      </w:r>
      <w:r w:rsidRPr="00F3706B">
        <w:t xml:space="preserve"> </w:t>
      </w:r>
      <w:r w:rsidR="00010336" w:rsidRPr="00F3706B">
        <w:t>No</w:t>
      </w:r>
      <w:r w:rsidRPr="00F3706B">
        <w:t xml:space="preserve"> </w:t>
      </w:r>
      <w:r w:rsidR="003E2F0B" w:rsidRPr="00F3706B">
        <w:t xml:space="preserve">keys </w:t>
      </w:r>
      <w:r w:rsidR="00B2432E" w:rsidRPr="00F3706B">
        <w:t xml:space="preserve">other </w:t>
      </w:r>
      <w:r w:rsidR="003E2F0B" w:rsidRPr="00F3706B">
        <w:t>th</w:t>
      </w:r>
      <w:r w:rsidR="007F0330" w:rsidRPr="00F3706B">
        <w:t>an</w:t>
      </w:r>
      <w:r w:rsidR="003E2F0B" w:rsidRPr="00F3706B">
        <w:t xml:space="preserve"> the operator</w:t>
      </w:r>
      <w:r w:rsidR="002027AF" w:rsidRPr="00F3706B">
        <w:t>’</w:t>
      </w:r>
      <w:r w:rsidR="003E2F0B" w:rsidRPr="00F3706B">
        <w:t>s public key(s)</w:t>
      </w:r>
      <w:r w:rsidRPr="00F3706B">
        <w:t xml:space="preserve"> have to be </w:t>
      </w:r>
      <w:r w:rsidR="00B2432E" w:rsidRPr="00F3706B">
        <w:t xml:space="preserve">shared </w:t>
      </w:r>
      <w:r w:rsidRPr="00F3706B">
        <w:t xml:space="preserve">between roaming partners. </w:t>
      </w:r>
      <w:r w:rsidR="003E2F0B" w:rsidRPr="00F3706B">
        <w:t>Encryption</w:t>
      </w:r>
      <w:r w:rsidRPr="00F3706B">
        <w:t xml:space="preserve"> only applies to a minimal set of AVPs used for the transfer of user content and other privacy sensitive information, </w:t>
      </w:r>
      <w:r w:rsidR="002027AF" w:rsidRPr="00F3706B">
        <w:t xml:space="preserve">such as </w:t>
      </w:r>
      <w:r w:rsidRPr="00F3706B">
        <w:t>authentication vectors</w:t>
      </w:r>
      <w:r w:rsidR="00B2432E" w:rsidRPr="00F3706B">
        <w:t>.</w:t>
      </w:r>
      <w:r w:rsidRPr="00F3706B">
        <w:t xml:space="preserve"> </w:t>
      </w:r>
      <w:r w:rsidR="002027AF" w:rsidRPr="00F3706B">
        <w:t xml:space="preserve">Encrypted data </w:t>
      </w:r>
      <w:r w:rsidRPr="00F3706B">
        <w:t xml:space="preserve">will be transferred in </w:t>
      </w:r>
      <w:r w:rsidR="003E2F0B" w:rsidRPr="00F3706B">
        <w:t xml:space="preserve">an </w:t>
      </w:r>
      <w:r w:rsidR="007A3167" w:rsidRPr="00F3706B">
        <w:rPr>
          <w:lang w:eastAsia="en-US" w:bidi="bn-BD"/>
        </w:rPr>
        <w:t>e</w:t>
      </w:r>
      <w:r w:rsidR="003E2F0B" w:rsidRPr="00F3706B">
        <w:rPr>
          <w:lang w:eastAsia="en-US" w:bidi="bn-BD"/>
        </w:rPr>
        <w:t>n</w:t>
      </w:r>
      <w:r w:rsidR="007A3167" w:rsidRPr="00F3706B">
        <w:rPr>
          <w:lang w:eastAsia="en-US" w:bidi="bn-BD"/>
        </w:rPr>
        <w:t>cryption container AVP</w:t>
      </w:r>
      <w:r w:rsidRPr="00F3706B">
        <w:t>.</w:t>
      </w:r>
    </w:p>
    <w:p w14:paraId="078E51F9" w14:textId="73A594D4" w:rsidR="00F924C0" w:rsidRPr="00F3706B" w:rsidRDefault="00331D6B" w:rsidP="008C1B2C">
      <w:pPr>
        <w:pStyle w:val="NormalParagraph"/>
        <w:numPr>
          <w:ilvl w:val="0"/>
          <w:numId w:val="15"/>
        </w:numPr>
      </w:pPr>
      <w:r w:rsidRPr="00F3706B">
        <w:rPr>
          <w:lang w:eastAsia="en-US" w:bidi="bn-BD"/>
        </w:rPr>
        <w:t>The entire contents of the message (including the e</w:t>
      </w:r>
      <w:r w:rsidR="007A3167" w:rsidRPr="00F3706B">
        <w:rPr>
          <w:lang w:eastAsia="en-US" w:bidi="bn-BD"/>
        </w:rPr>
        <w:t>n</w:t>
      </w:r>
      <w:r w:rsidRPr="00F3706B">
        <w:rPr>
          <w:lang w:eastAsia="en-US" w:bidi="bn-BD"/>
        </w:rPr>
        <w:t>cryption container but except for the Route-Record AVP</w:t>
      </w:r>
      <w:r w:rsidR="007A3167" w:rsidRPr="00F3706B">
        <w:rPr>
          <w:lang w:eastAsia="en-US" w:bidi="bn-BD"/>
        </w:rPr>
        <w:t>)</w:t>
      </w:r>
      <w:r w:rsidRPr="00F3706B">
        <w:rPr>
          <w:lang w:eastAsia="en-US" w:bidi="bn-BD"/>
        </w:rPr>
        <w:t xml:space="preserve"> </w:t>
      </w:r>
      <w:r w:rsidR="007A3167" w:rsidRPr="00F3706B">
        <w:rPr>
          <w:lang w:eastAsia="en-US" w:bidi="bn-BD"/>
        </w:rPr>
        <w:t>will be integrity protected using a</w:t>
      </w:r>
      <w:r w:rsidRPr="00F3706B">
        <w:rPr>
          <w:lang w:eastAsia="en-US" w:bidi="bn-BD"/>
        </w:rPr>
        <w:t>symmetric cryptograph</w:t>
      </w:r>
      <w:r w:rsidR="007F0330" w:rsidRPr="00F3706B">
        <w:rPr>
          <w:lang w:eastAsia="en-US" w:bidi="bn-BD"/>
        </w:rPr>
        <w:t>y</w:t>
      </w:r>
      <w:r w:rsidR="002027AF" w:rsidRPr="00F3706B">
        <w:rPr>
          <w:lang w:eastAsia="en-US" w:bidi="bn-BD"/>
        </w:rPr>
        <w:t xml:space="preserve">. A </w:t>
      </w:r>
      <w:r w:rsidRPr="00F3706B">
        <w:rPr>
          <w:lang w:eastAsia="en-US" w:bidi="bn-BD"/>
        </w:rPr>
        <w:t>digital signature</w:t>
      </w:r>
      <w:r w:rsidR="007F0330" w:rsidRPr="00F3706B">
        <w:rPr>
          <w:lang w:eastAsia="en-US" w:bidi="bn-BD"/>
        </w:rPr>
        <w:t xml:space="preserve"> AVP</w:t>
      </w:r>
      <w:r w:rsidRPr="00F3706B">
        <w:rPr>
          <w:lang w:eastAsia="en-US" w:bidi="bn-BD"/>
        </w:rPr>
        <w:t xml:space="preserve"> is added</w:t>
      </w:r>
      <w:r w:rsidR="007A3167" w:rsidRPr="00F3706B">
        <w:rPr>
          <w:lang w:eastAsia="en-US" w:bidi="bn-BD"/>
        </w:rPr>
        <w:t>. In case an intermediate IPX provider makes modifications, it will re</w:t>
      </w:r>
      <w:r w:rsidR="00420FBC" w:rsidRPr="00F3706B">
        <w:rPr>
          <w:lang w:eastAsia="en-US" w:bidi="bn-BD"/>
        </w:rPr>
        <w:t>-</w:t>
      </w:r>
      <w:r w:rsidR="007A3167" w:rsidRPr="00F3706B">
        <w:rPr>
          <w:lang w:eastAsia="en-US" w:bidi="bn-BD"/>
        </w:rPr>
        <w:t>sign the message and overwrite the digital signature</w:t>
      </w:r>
      <w:r w:rsidR="0089207D" w:rsidRPr="00F3706B">
        <w:t>.</w:t>
      </w:r>
      <w:r w:rsidR="007F0330" w:rsidRPr="00F3706B">
        <w:t xml:space="preserve"> It is up to operators to grant and verify the respective IPX providers</w:t>
      </w:r>
      <w:r w:rsidR="00420FBC" w:rsidRPr="00F3706B">
        <w:t>’</w:t>
      </w:r>
      <w:r w:rsidR="007F0330" w:rsidRPr="00F3706B">
        <w:t xml:space="preserve"> behaviour for the operator</w:t>
      </w:r>
      <w:r w:rsidR="00420FBC" w:rsidRPr="00F3706B">
        <w:t>’</w:t>
      </w:r>
      <w:r w:rsidR="007F0330" w:rsidRPr="00F3706B">
        <w:t>s peer relationship</w:t>
      </w:r>
      <w:r w:rsidR="00B2432E" w:rsidRPr="00F3706B">
        <w:t>s</w:t>
      </w:r>
      <w:r w:rsidR="007F0330" w:rsidRPr="00F3706B">
        <w:t xml:space="preserve"> over the IPX network.</w:t>
      </w:r>
    </w:p>
    <w:p w14:paraId="1B4F10FE" w14:textId="77777777" w:rsidR="00F84F56" w:rsidRDefault="00F84F56" w:rsidP="00F84F56">
      <w:pPr>
        <w:pStyle w:val="NormalParagraph"/>
        <w:widowControl w:val="0"/>
      </w:pPr>
      <w:r>
        <w:t>Please note that we have made an explicit split between the use of asymmetric cryptography for integrity protection and symmetric cryptography for confidentiality protection considering the existing eco-system with IPX providers.</w:t>
      </w:r>
    </w:p>
    <w:p w14:paraId="7E95CF31" w14:textId="435A324F" w:rsidR="00A52E21" w:rsidRPr="00F3706B" w:rsidRDefault="00A52E21" w:rsidP="009C4875">
      <w:pPr>
        <w:pStyle w:val="NormalParagraph"/>
        <w:widowControl w:val="0"/>
      </w:pPr>
      <w:r w:rsidRPr="00F3706B">
        <w:t xml:space="preserve">In parallel the feasibility and the performance aspects of the solution are being validated in a </w:t>
      </w:r>
      <w:r w:rsidR="00B2432E" w:rsidRPr="00F3706B">
        <w:t xml:space="preserve">proof of concept </w:t>
      </w:r>
      <w:r w:rsidRPr="00F3706B">
        <w:t>between KPN and P1 Security</w:t>
      </w:r>
      <w:r w:rsidR="00420FBC" w:rsidRPr="00F3706B">
        <w:t>,</w:t>
      </w:r>
      <w:r w:rsidR="009C4875" w:rsidRPr="00F3706B">
        <w:t xml:space="preserve"> including the transfer via existing DRA implementations. </w:t>
      </w:r>
    </w:p>
    <w:p w14:paraId="273EB78E" w14:textId="77777777" w:rsidR="00A52E21" w:rsidRPr="00F3706B" w:rsidRDefault="00A52E21" w:rsidP="00A52E21">
      <w:pPr>
        <w:pStyle w:val="Heading1"/>
        <w:keepLines w:val="0"/>
        <w:widowControl w:val="0"/>
      </w:pPr>
      <w:r w:rsidRPr="00F3706B">
        <w:t>Action Required</w:t>
      </w:r>
    </w:p>
    <w:p w14:paraId="0333C914" w14:textId="77777777" w:rsidR="00D40683" w:rsidRDefault="00B2432E" w:rsidP="008C1B2C">
      <w:pPr>
        <w:pStyle w:val="NormalParagraph"/>
        <w:widowControl w:val="0"/>
      </w:pPr>
      <w:r w:rsidRPr="00F3706B">
        <w:t>T</w:t>
      </w:r>
      <w:r w:rsidR="00A52E21" w:rsidRPr="00F3706B">
        <w:t xml:space="preserve">he latest draft of the </w:t>
      </w:r>
      <w:r w:rsidR="009C4875" w:rsidRPr="00F3706B">
        <w:t xml:space="preserve">proposed </w:t>
      </w:r>
      <w:r w:rsidR="00A52E21" w:rsidRPr="00F3706B">
        <w:t>guidelines for the Diameter IPX network end-to-end security solution</w:t>
      </w:r>
      <w:r w:rsidR="00873EB1" w:rsidRPr="00F3706B">
        <w:t xml:space="preserve"> </w:t>
      </w:r>
      <w:r w:rsidRPr="00F3706B">
        <w:t>is included in the following sections of this document</w:t>
      </w:r>
      <w:r w:rsidR="00A52E21" w:rsidRPr="00F3706B">
        <w:t>.</w:t>
      </w:r>
      <w:r w:rsidRPr="00F3706B">
        <w:t xml:space="preserve"> </w:t>
      </w:r>
      <w:r w:rsidR="00026ED9" w:rsidRPr="00F3706B">
        <w:t xml:space="preserve">Please note that although the solution is considered a stable draft within DESS, it doesn’t yet represent a final and approved GSMA output. </w:t>
      </w:r>
    </w:p>
    <w:p w14:paraId="24B56C9F" w14:textId="461196C7" w:rsidR="00F84F56" w:rsidRDefault="00CF716A" w:rsidP="00CF716A">
      <w:pPr>
        <w:pStyle w:val="NormalParagraph"/>
        <w:widowControl w:val="0"/>
      </w:pPr>
      <w:r>
        <w:t xml:space="preserve">We appreciate the expertise of </w:t>
      </w:r>
      <w:r w:rsidR="00A52E21" w:rsidRPr="00F3706B">
        <w:t xml:space="preserve">3GPP SA3 </w:t>
      </w:r>
      <w:r w:rsidR="00F84F56">
        <w:t xml:space="preserve">and </w:t>
      </w:r>
      <w:r>
        <w:t xml:space="preserve">kindly </w:t>
      </w:r>
      <w:r w:rsidR="00F84F56">
        <w:t xml:space="preserve">ask SA3 to </w:t>
      </w:r>
      <w:r>
        <w:t xml:space="preserve">assess </w:t>
      </w:r>
      <w:r w:rsidR="00A52E21" w:rsidRPr="00F3706B">
        <w:t>the proposed solution</w:t>
      </w:r>
      <w:r w:rsidR="009C4875" w:rsidRPr="00F3706B">
        <w:t xml:space="preserve"> in the light of the considerations described above</w:t>
      </w:r>
      <w:r w:rsidR="00026ED9" w:rsidRPr="00F3706B">
        <w:t xml:space="preserve"> and provide feedback to DESS</w:t>
      </w:r>
      <w:r w:rsidR="001B02D2" w:rsidRPr="00F3706B">
        <w:t>.</w:t>
      </w:r>
      <w:r w:rsidR="00873EB1" w:rsidRPr="00F3706B">
        <w:t xml:space="preserve"> </w:t>
      </w:r>
    </w:p>
    <w:p w14:paraId="76EB7E53" w14:textId="7EE0F52A" w:rsidR="00D40683" w:rsidRPr="00F3706B" w:rsidRDefault="00CF716A" w:rsidP="00CF716A">
      <w:pPr>
        <w:pStyle w:val="NormalParagraph"/>
        <w:widowControl w:val="0"/>
      </w:pPr>
      <w:r>
        <w:t xml:space="preserve">It is the understanding </w:t>
      </w:r>
      <w:r w:rsidR="00F84F56">
        <w:t xml:space="preserve">of DESS </w:t>
      </w:r>
      <w:r>
        <w:t xml:space="preserve">that </w:t>
      </w:r>
      <w:r w:rsidR="00F84F56">
        <w:t>these procedures are referring to functional elements not part of the 3GPP standards. Therefor DESS believes the functionality needs to be defined in GSMA documents.</w:t>
      </w:r>
    </w:p>
    <w:p w14:paraId="28A646FE" w14:textId="77777777" w:rsidR="00420FBC" w:rsidRPr="00F3706B" w:rsidRDefault="00420FBC" w:rsidP="00420FBC">
      <w:pPr>
        <w:pStyle w:val="Heading1"/>
      </w:pPr>
      <w:r w:rsidRPr="00F3706B">
        <w:t>Next Meetings</w:t>
      </w:r>
    </w:p>
    <w:p w14:paraId="11DC717C" w14:textId="3D57CBAE" w:rsidR="00420FBC" w:rsidRPr="00F3706B" w:rsidRDefault="00420FBC" w:rsidP="008706AD">
      <w:pPr>
        <w:pStyle w:val="ListBullet1"/>
      </w:pPr>
      <w:r w:rsidRPr="00F3706B">
        <w:t>DESS#32</w:t>
      </w:r>
      <w:r w:rsidR="00873EB1" w:rsidRPr="00F3706B">
        <w:t xml:space="preserve"> – 18 April 2019</w:t>
      </w:r>
    </w:p>
    <w:p w14:paraId="7F6BE8A3" w14:textId="77777777" w:rsidR="00C24EEC" w:rsidRPr="00F3706B" w:rsidRDefault="00420FBC" w:rsidP="008706AD">
      <w:pPr>
        <w:pStyle w:val="ListBullet1"/>
      </w:pPr>
      <w:r w:rsidRPr="00F3706B">
        <w:t>DESS#33</w:t>
      </w:r>
      <w:r w:rsidR="00873EB1" w:rsidRPr="00F3706B">
        <w:t xml:space="preserve"> – 9 May 2019</w:t>
      </w:r>
    </w:p>
    <w:p w14:paraId="69E3108C" w14:textId="77777777" w:rsidR="00C24EEC" w:rsidRPr="00F3706B" w:rsidRDefault="00C24EEC" w:rsidP="008706AD">
      <w:pPr>
        <w:pStyle w:val="ListBullet1"/>
      </w:pPr>
      <w:r w:rsidRPr="00F3706B">
        <w:t>DESS#34 – 30 May 2019</w:t>
      </w:r>
    </w:p>
    <w:p w14:paraId="077C0122" w14:textId="17FA0A42" w:rsidR="00840DE4" w:rsidRPr="00F3706B" w:rsidRDefault="00C24EEC" w:rsidP="008706AD">
      <w:pPr>
        <w:pStyle w:val="ListBullet1"/>
      </w:pPr>
      <w:r w:rsidRPr="00F3706B">
        <w:t>DESS#35 – 20 Jun 2019</w:t>
      </w:r>
    </w:p>
    <w:p w14:paraId="4EDCDA24" w14:textId="133F5EA1" w:rsidR="00873EB1" w:rsidRPr="00F3706B" w:rsidRDefault="00873EB1">
      <w:pPr>
        <w:spacing w:before="0"/>
        <w:jc w:val="left"/>
        <w:rPr>
          <w:szCs w:val="22"/>
          <w:lang w:eastAsia="en-GB" w:bidi="ar-SA"/>
        </w:rPr>
      </w:pPr>
      <w:r w:rsidRPr="00F3706B">
        <w:br w:type="page"/>
      </w:r>
    </w:p>
    <w:p w14:paraId="1F9592C8" w14:textId="2FE4FC5A" w:rsidR="00873EB1" w:rsidRPr="00F3706B" w:rsidRDefault="00873EB1" w:rsidP="00873EB1">
      <w:pPr>
        <w:pStyle w:val="Annex"/>
      </w:pPr>
      <w:bookmarkStart w:id="7" w:name="_Ref3981058"/>
      <w:bookmarkStart w:id="8" w:name="_Toc3993089"/>
      <w:r w:rsidRPr="00F3706B">
        <w:lastRenderedPageBreak/>
        <w:t xml:space="preserve">Diameter IPX Network End-to-End Security Solution </w:t>
      </w:r>
      <w:bookmarkStart w:id="9" w:name="_Toc506554913"/>
      <w:bookmarkEnd w:id="7"/>
      <w:bookmarkEnd w:id="8"/>
    </w:p>
    <w:p w14:paraId="482CBCA7" w14:textId="77777777" w:rsidR="00873EB1" w:rsidRPr="00F3706B" w:rsidRDefault="00873EB1" w:rsidP="00873EB1">
      <w:pPr>
        <w:pStyle w:val="ANNEX-heading1"/>
      </w:pPr>
      <w:bookmarkStart w:id="10" w:name="_Toc524553334"/>
      <w:bookmarkStart w:id="11" w:name="_Toc3993090"/>
      <w:r w:rsidRPr="00F3706B">
        <w:t>Introduction</w:t>
      </w:r>
      <w:bookmarkEnd w:id="9"/>
      <w:bookmarkEnd w:id="10"/>
      <w:bookmarkEnd w:id="11"/>
    </w:p>
    <w:p w14:paraId="774E1CC5" w14:textId="77777777" w:rsidR="00873EB1" w:rsidRPr="00F3706B" w:rsidRDefault="00873EB1" w:rsidP="00873EB1">
      <w:pPr>
        <w:pStyle w:val="ANNEX-heading2"/>
      </w:pPr>
      <w:bookmarkStart w:id="12" w:name="_Toc506554914"/>
      <w:bookmarkStart w:id="13" w:name="_Toc524553335"/>
      <w:bookmarkStart w:id="14" w:name="_Toc3993091"/>
      <w:r w:rsidRPr="00F3706B">
        <w:t>Overview</w:t>
      </w:r>
      <w:bookmarkEnd w:id="12"/>
      <w:bookmarkEnd w:id="13"/>
      <w:bookmarkEnd w:id="14"/>
    </w:p>
    <w:p w14:paraId="0AB2A40F" w14:textId="77777777" w:rsidR="00873EB1" w:rsidRPr="00F3706B" w:rsidRDefault="00873EB1" w:rsidP="00873EB1">
      <w:pPr>
        <w:pStyle w:val="NormalParagraph"/>
      </w:pPr>
      <w:r w:rsidRPr="00F3706B">
        <w:t xml:space="preserve">This Annex provides the Diameter specific guidelines on how signalling exchanges within the Internetwork Packet Exchange (IPX) ecosystem should be protected. The high-level protocol agnostic guidelines of this IPX network end-to-end security solution are described in GSMA PRD FS.21 </w:t>
      </w:r>
      <w:r w:rsidRPr="00F3706B">
        <w:fldChar w:fldCharType="begin"/>
      </w:r>
      <w:r w:rsidRPr="00F3706B">
        <w:instrText xml:space="preserve"> REF _Ref508830360 \r \h  \* MERGEFORMAT </w:instrText>
      </w:r>
      <w:r w:rsidRPr="00F3706B">
        <w:fldChar w:fldCharType="separate"/>
      </w:r>
      <w:r w:rsidRPr="00F3706B">
        <w:t>[57]</w:t>
      </w:r>
      <w:r w:rsidRPr="00F3706B">
        <w:fldChar w:fldCharType="end"/>
      </w:r>
      <w:r w:rsidRPr="00F3706B">
        <w:t>.</w:t>
      </w:r>
    </w:p>
    <w:p w14:paraId="024C9BE9" w14:textId="77777777" w:rsidR="00873EB1" w:rsidRPr="00F3706B" w:rsidRDefault="00873EB1" w:rsidP="00873EB1">
      <w:pPr>
        <w:pStyle w:val="ANNEX-heading2"/>
      </w:pPr>
      <w:bookmarkStart w:id="15" w:name="_Toc506554915"/>
      <w:bookmarkStart w:id="16" w:name="_Toc524553336"/>
      <w:bookmarkStart w:id="17" w:name="_Toc3993092"/>
      <w:r w:rsidRPr="00F3706B">
        <w:t>Scope</w:t>
      </w:r>
      <w:bookmarkEnd w:id="15"/>
      <w:bookmarkEnd w:id="16"/>
      <w:bookmarkEnd w:id="17"/>
    </w:p>
    <w:p w14:paraId="5005DF8F" w14:textId="77777777" w:rsidR="00873EB1" w:rsidRPr="00F3706B" w:rsidRDefault="00873EB1" w:rsidP="00873EB1">
      <w:pPr>
        <w:pStyle w:val="NormalParagraph"/>
      </w:pPr>
      <w:r w:rsidRPr="00F3706B">
        <w:t xml:space="preserve">The Annex provides guidelines on </w:t>
      </w:r>
      <w:r w:rsidRPr="00F3706B">
        <w:rPr>
          <w:i/>
        </w:rPr>
        <w:t>what</w:t>
      </w:r>
      <w:r w:rsidRPr="00F3706B">
        <w:t xml:space="preserve"> to protect, </w:t>
      </w:r>
      <w:r w:rsidRPr="00F3706B">
        <w:rPr>
          <w:i/>
        </w:rPr>
        <w:t>where</w:t>
      </w:r>
      <w:r w:rsidRPr="00F3706B">
        <w:t xml:space="preserve"> to protect and </w:t>
      </w:r>
      <w:r w:rsidRPr="00F3706B">
        <w:rPr>
          <w:i/>
        </w:rPr>
        <w:t>how</w:t>
      </w:r>
      <w:r w:rsidRPr="00F3706B">
        <w:t xml:space="preserve"> to protect the exchange of Diameter messages within the IPX ecosystem. Therefore the scope is limited to inter-network exchange between service providers only. Parts of the solution or solution directions however may be used for intra-network messages within service providers too. </w:t>
      </w:r>
    </w:p>
    <w:p w14:paraId="0C5E4759" w14:textId="404C225F" w:rsidR="00873EB1" w:rsidRPr="00F3706B" w:rsidRDefault="00873EB1" w:rsidP="00873EB1">
      <w:pPr>
        <w:pStyle w:val="NormalParagraph"/>
      </w:pPr>
      <w:r w:rsidRPr="00F3706B">
        <w:t>The scope of this Annex is limited to provide guidelines on providing integrity, authentication and confidentiality only. It does not outline the risk classification of AVPs and</w:t>
      </w:r>
      <w:r w:rsidR="00F3706B" w:rsidRPr="00F3706B">
        <w:t xml:space="preserve"> </w:t>
      </w:r>
      <w:r w:rsidRPr="00F3706B">
        <w:t xml:space="preserve">recommends which AVPs to expect within certain circumstances. The general security guidelines for IPX providers and service providers with regards to Diameter Firewall, see </w:t>
      </w:r>
      <w:r w:rsidRPr="00F3706B">
        <w:fldChar w:fldCharType="begin"/>
      </w:r>
      <w:r w:rsidRPr="00F3706B">
        <w:instrText xml:space="preserve"> REF _Ref521077848 \r \h  \* MERGEFORMAT </w:instrText>
      </w:r>
      <w:r w:rsidRPr="00F3706B">
        <w:fldChar w:fldCharType="separate"/>
      </w:r>
      <w:r w:rsidRPr="00F3706B">
        <w:t>Annex B</w:t>
      </w:r>
      <w:r w:rsidRPr="00F3706B">
        <w:fldChar w:fldCharType="end"/>
      </w:r>
      <w:r w:rsidRPr="00F3706B">
        <w:t>, should still be taken into account. This Annex aims to strengthen the security within the IPX ecosystem by adding measures to protocol itself.</w:t>
      </w:r>
    </w:p>
    <w:p w14:paraId="17E3D602" w14:textId="77777777" w:rsidR="00873EB1" w:rsidRPr="00F3706B" w:rsidRDefault="00873EB1" w:rsidP="00873EB1">
      <w:pPr>
        <w:pStyle w:val="NormalParagraph"/>
      </w:pPr>
      <w:r w:rsidRPr="00F3706B">
        <w:t xml:space="preserve">This mechanism for Diameter is aligned the integrity and confidentiality protection for 5G with the service based architecture with </w:t>
      </w:r>
      <w:r w:rsidRPr="00F3706B">
        <w:rPr>
          <w:rFonts w:cs="Arial"/>
          <w:color w:val="222222"/>
          <w:shd w:val="clear" w:color="auto" w:fill="FFFFFF"/>
        </w:rPr>
        <w:t>Hyper-Text Transfer Protocol</w:t>
      </w:r>
      <w:r w:rsidRPr="00F3706B">
        <w:t xml:space="preserve"> (HTTP) objects and </w:t>
      </w:r>
      <w:r w:rsidRPr="00F3706B">
        <w:rPr>
          <w:rFonts w:cs="Arial"/>
          <w:color w:val="222222"/>
          <w:shd w:val="clear" w:color="auto" w:fill="FFFFFF"/>
        </w:rPr>
        <w:t>JavaScript Object Notation</w:t>
      </w:r>
      <w:r w:rsidRPr="00F3706B">
        <w:t xml:space="preserve"> (JSON) object notation. </w:t>
      </w:r>
    </w:p>
    <w:p w14:paraId="1A95D8CE" w14:textId="77777777" w:rsidR="00873EB1" w:rsidRPr="00F3706B" w:rsidRDefault="00873EB1" w:rsidP="00873EB1">
      <w:pPr>
        <w:pStyle w:val="ANNEX-heading1"/>
      </w:pPr>
      <w:bookmarkStart w:id="18" w:name="_Toc524553337"/>
      <w:bookmarkStart w:id="19" w:name="_Toc3993093"/>
      <w:r w:rsidRPr="00F3706B">
        <w:t>The IPX ecosystem with Diameter</w:t>
      </w:r>
      <w:bookmarkEnd w:id="18"/>
      <w:bookmarkEnd w:id="19"/>
    </w:p>
    <w:p w14:paraId="01AB14A8" w14:textId="77777777" w:rsidR="00873EB1" w:rsidRPr="00F3706B" w:rsidRDefault="00873EB1" w:rsidP="00873EB1">
      <w:pPr>
        <w:pStyle w:val="ANNEX-heading2"/>
      </w:pPr>
      <w:bookmarkStart w:id="20" w:name="_Toc506554923"/>
      <w:bookmarkStart w:id="21" w:name="_Toc524553338"/>
      <w:bookmarkStart w:id="22" w:name="_Toc3993094"/>
      <w:r w:rsidRPr="00F3706B">
        <w:t>Interconnection model of the IPX network</w:t>
      </w:r>
      <w:bookmarkEnd w:id="20"/>
      <w:bookmarkEnd w:id="21"/>
      <w:bookmarkEnd w:id="22"/>
    </w:p>
    <w:p w14:paraId="1B441EE4" w14:textId="77777777" w:rsidR="00873EB1" w:rsidRPr="00F3706B" w:rsidRDefault="00873EB1" w:rsidP="00873EB1">
      <w:pPr>
        <w:pStyle w:val="NormalParagraph"/>
        <w:rPr>
          <w:lang w:eastAsia="en-US"/>
        </w:rPr>
      </w:pPr>
      <w:r w:rsidRPr="00F3706B">
        <w:rPr>
          <w:lang w:eastAsia="en-US" w:bidi="bn-BD"/>
        </w:rPr>
        <w:t xml:space="preserve">In EPC roaming, to exchange Diameter signalling messages on the inter-PLMN interface both service providers and IPX providers usually use Diameter Edge Agents (DEA) on the edge of the network as described in IR.88 </w:t>
      </w:r>
      <w:r w:rsidRPr="00F3706B">
        <w:rPr>
          <w:lang w:eastAsia="en-US"/>
        </w:rPr>
        <w:fldChar w:fldCharType="begin"/>
      </w:r>
      <w:r w:rsidRPr="00F3706B">
        <w:rPr>
          <w:lang w:eastAsia="en-US" w:bidi="bn-BD"/>
        </w:rPr>
        <w:instrText xml:space="preserve"> REF _Ref512605448 \r \h  \* MERGEFORMAT </w:instrText>
      </w:r>
      <w:r w:rsidRPr="00F3706B">
        <w:rPr>
          <w:lang w:eastAsia="en-US"/>
        </w:rPr>
      </w:r>
      <w:r w:rsidRPr="00F3706B">
        <w:rPr>
          <w:lang w:eastAsia="en-US"/>
        </w:rPr>
        <w:fldChar w:fldCharType="separate"/>
      </w:r>
      <w:r w:rsidRPr="00F3706B">
        <w:rPr>
          <w:lang w:eastAsia="en-US" w:bidi="bn-BD"/>
        </w:rPr>
        <w:t>[9]</w:t>
      </w:r>
      <w:r w:rsidRPr="00F3706B">
        <w:rPr>
          <w:lang w:eastAsia="en-US"/>
        </w:rPr>
        <w:fldChar w:fldCharType="end"/>
      </w:r>
      <w:r w:rsidRPr="00F3706B">
        <w:rPr>
          <w:lang w:eastAsia="en-US" w:bidi="bn-BD"/>
        </w:rPr>
        <w:t xml:space="preserve"> and the clarifications of the services that IPX providers offer as described in section </w:t>
      </w:r>
      <w:r w:rsidRPr="00F3706B">
        <w:rPr>
          <w:lang w:eastAsia="en-US"/>
        </w:rPr>
        <w:fldChar w:fldCharType="begin"/>
      </w:r>
      <w:r w:rsidRPr="00F3706B">
        <w:rPr>
          <w:lang w:eastAsia="en-US" w:bidi="bn-BD"/>
        </w:rPr>
        <w:instrText xml:space="preserve"> REF _Ref524551816 \r \h </w:instrText>
      </w:r>
      <w:r w:rsidRPr="00F3706B">
        <w:rPr>
          <w:lang w:eastAsia="en-US"/>
        </w:rPr>
      </w:r>
      <w:r w:rsidRPr="00F3706B">
        <w:rPr>
          <w:lang w:eastAsia="en-US"/>
        </w:rPr>
        <w:fldChar w:fldCharType="separate"/>
      </w:r>
      <w:r w:rsidRPr="00F3706B">
        <w:rPr>
          <w:lang w:eastAsia="en-US" w:bidi="bn-BD"/>
        </w:rPr>
        <w:t>2.3</w:t>
      </w:r>
      <w:r w:rsidRPr="00F3706B">
        <w:rPr>
          <w:lang w:eastAsia="en-US"/>
        </w:rPr>
        <w:fldChar w:fldCharType="end"/>
      </w:r>
      <w:r w:rsidRPr="00F3706B">
        <w:rPr>
          <w:lang w:eastAsia="en-US" w:bidi="bn-BD"/>
        </w:rPr>
        <w:t>.</w:t>
      </w:r>
    </w:p>
    <w:p w14:paraId="1F61CA9A" w14:textId="77777777" w:rsidR="00873EB1" w:rsidRPr="00F3706B" w:rsidRDefault="00873EB1" w:rsidP="00873EB1">
      <w:pPr>
        <w:pStyle w:val="NormalParagraph"/>
      </w:pPr>
      <w:r w:rsidRPr="00F3706B">
        <w:t xml:space="preserve">The DEA is the node that provides the interworking between public and private IP addresses, internal and external Realms using the 3GPP format defined in the 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and does topology hiding for security reasons. The DEA and Diameter Firewall are typically the nodes where providers locate the security function in the Diameter signalling exchange.</w:t>
      </w:r>
    </w:p>
    <w:p w14:paraId="05A64227" w14:textId="77777777" w:rsidR="00873EB1" w:rsidRPr="00F3706B" w:rsidRDefault="00873EB1" w:rsidP="00873EB1">
      <w:pPr>
        <w:pStyle w:val="NormalParagraph"/>
      </w:pPr>
      <w:r w:rsidRPr="00F3706B">
        <w:t xml:space="preserve">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 xml:space="preserve">also describes an interconnection model where the service providers exchange messages over a secure connection using the IPX network as transit network but that architecture model is hardly implemented due to operational constraints. </w:t>
      </w:r>
    </w:p>
    <w:p w14:paraId="56447B3A" w14:textId="77777777" w:rsidR="00873EB1" w:rsidRPr="00F3706B" w:rsidRDefault="00873EB1" w:rsidP="00873EB1">
      <w:pPr>
        <w:pStyle w:val="ANNEX-heading2"/>
      </w:pPr>
      <w:bookmarkStart w:id="23" w:name="_Toc506554925"/>
      <w:bookmarkStart w:id="24" w:name="_Toc524553340"/>
      <w:bookmarkStart w:id="25" w:name="_Toc3993095"/>
      <w:bookmarkStart w:id="26" w:name="_Toc506554937"/>
      <w:r w:rsidRPr="00F3706B">
        <w:t>Current security measures in the IPX network related to authenticity, integrity and confidentiality</w:t>
      </w:r>
      <w:bookmarkEnd w:id="23"/>
      <w:bookmarkEnd w:id="24"/>
      <w:bookmarkEnd w:id="25"/>
    </w:p>
    <w:p w14:paraId="1C384E98" w14:textId="77777777" w:rsidR="00873EB1" w:rsidRPr="00F3706B" w:rsidRDefault="00873EB1" w:rsidP="00873EB1">
      <w:pPr>
        <w:pStyle w:val="NormalParagraph"/>
        <w:rPr>
          <w:szCs w:val="20"/>
          <w:lang w:eastAsia="en-US" w:bidi="bn-BD"/>
        </w:rPr>
      </w:pPr>
      <w:r w:rsidRPr="00F3706B">
        <w:rPr>
          <w:szCs w:val="20"/>
          <w:lang w:eastAsia="en-US" w:bidi="bn-BD"/>
        </w:rPr>
        <w:t xml:space="preserve">The fact that IPX providers have access to the content of Diameter messages does mean that there are no security measures implemented for Diameter messages that travel through </w:t>
      </w:r>
      <w:r w:rsidRPr="00F3706B">
        <w:rPr>
          <w:szCs w:val="20"/>
          <w:lang w:eastAsia="en-US" w:bidi="bn-BD"/>
        </w:rPr>
        <w:lastRenderedPageBreak/>
        <w:t xml:space="preserve">the IPX network. Confidentiality and integrity measures are taken, but only on a hop by hop basis. This mitigates to some extent eavesdropping and Man-in-the-middle attacks. </w:t>
      </w:r>
    </w:p>
    <w:p w14:paraId="372BCDA0" w14:textId="77777777" w:rsidR="00873EB1" w:rsidRPr="00F3706B" w:rsidRDefault="00873EB1" w:rsidP="00873EB1">
      <w:pPr>
        <w:pStyle w:val="NormalParagraph"/>
        <w:rPr>
          <w:szCs w:val="20"/>
          <w:lang w:eastAsia="en-US" w:bidi="bn-BD"/>
        </w:rPr>
      </w:pPr>
      <w:r w:rsidRPr="00F3706B">
        <w:rPr>
          <w:szCs w:val="20"/>
          <w:lang w:eastAsia="en-US" w:bidi="bn-BD"/>
        </w:rPr>
        <w:t>The current measures do not contribute to provide end-to-end security between service providers. The lack of end-to-end security makes the IPX network particularly vulnerable for spoofing attacks. This could be exploited for a broad range of attacks and fraud.</w:t>
      </w:r>
    </w:p>
    <w:p w14:paraId="267C33A4" w14:textId="77777777" w:rsidR="00873EB1" w:rsidRPr="00F3706B" w:rsidRDefault="00873EB1" w:rsidP="00873EB1">
      <w:pPr>
        <w:pStyle w:val="ANNEX-heading1"/>
      </w:pPr>
      <w:r w:rsidRPr="00F3706B">
        <w:t>IPX end to end security measures for LTE</w:t>
      </w:r>
      <w:bookmarkEnd w:id="26"/>
    </w:p>
    <w:p w14:paraId="05D5DD1E" w14:textId="77777777" w:rsidR="00873EB1" w:rsidRPr="00F3706B" w:rsidRDefault="00873EB1" w:rsidP="00873EB1">
      <w:pPr>
        <w:pStyle w:val="NormalParagraph"/>
        <w:rPr>
          <w:lang w:eastAsia="en-US" w:bidi="bn-BD"/>
        </w:rPr>
      </w:pPr>
      <w:r w:rsidRPr="00F3706B">
        <w:rPr>
          <w:lang w:eastAsia="en-US" w:bidi="bn-BD"/>
        </w:rPr>
        <w:t xml:space="preserve">This chapter describes the specific IPX end to end security measures for LTE with Diameter. </w:t>
      </w:r>
    </w:p>
    <w:p w14:paraId="789086C3" w14:textId="77777777" w:rsidR="00873EB1" w:rsidRPr="00F3706B" w:rsidRDefault="00873EB1" w:rsidP="00873EB1">
      <w:pPr>
        <w:pStyle w:val="ANNEX-heading2"/>
      </w:pPr>
      <w:bookmarkStart w:id="27" w:name="_Toc498678054"/>
      <w:bookmarkStart w:id="28" w:name="_Toc524553342"/>
      <w:bookmarkStart w:id="29" w:name="_Toc3993097"/>
      <w:bookmarkStart w:id="30" w:name="_Toc506554938"/>
      <w:r w:rsidRPr="00F3706B">
        <w:t>What to Protect</w:t>
      </w:r>
      <w:bookmarkEnd w:id="27"/>
      <w:bookmarkEnd w:id="28"/>
      <w:bookmarkEnd w:id="29"/>
    </w:p>
    <w:p w14:paraId="5B8ECFE3" w14:textId="77777777" w:rsidR="00873EB1" w:rsidRPr="00F3706B" w:rsidRDefault="00873EB1" w:rsidP="00873EB1">
      <w:pPr>
        <w:pStyle w:val="ANNEX-heading3"/>
        <w:rPr>
          <w:lang w:val="en-GB"/>
        </w:rPr>
      </w:pPr>
      <w:bookmarkStart w:id="31" w:name="_Toc498678055"/>
      <w:r w:rsidRPr="00F3706B">
        <w:rPr>
          <w:lang w:val="en-GB"/>
        </w:rPr>
        <w:t>Interfaces to be protected</w:t>
      </w:r>
      <w:bookmarkEnd w:id="31"/>
    </w:p>
    <w:p w14:paraId="10CA2AC8" w14:textId="77777777" w:rsidR="00873EB1" w:rsidRPr="00F3706B" w:rsidRDefault="00873EB1" w:rsidP="00873EB1">
      <w:pPr>
        <w:pStyle w:val="NormalParagraph"/>
      </w:pPr>
      <w:r w:rsidRPr="00F3706B">
        <w:t>The implementation and use of this IPX Network End-to-End Security Solution is:</w:t>
      </w:r>
    </w:p>
    <w:p w14:paraId="36D8030A" w14:textId="77777777" w:rsidR="00873EB1" w:rsidRPr="00F3706B" w:rsidRDefault="00873EB1" w:rsidP="008706AD">
      <w:pPr>
        <w:pStyle w:val="NormalParagraph"/>
        <w:numPr>
          <w:ilvl w:val="0"/>
          <w:numId w:val="24"/>
        </w:numPr>
      </w:pPr>
      <w:r w:rsidRPr="00F3706B">
        <w:t>Mandatory authentication, integrity and confidentiality protection for SMS on the (existing) S6c and SGd/GDd interfaces.</w:t>
      </w:r>
    </w:p>
    <w:p w14:paraId="17F95BF2" w14:textId="50D6B4DD" w:rsidR="00873EB1" w:rsidRPr="00F3706B" w:rsidRDefault="00873EB1" w:rsidP="008706AD">
      <w:pPr>
        <w:pStyle w:val="NormalParagraph"/>
        <w:numPr>
          <w:ilvl w:val="0"/>
          <w:numId w:val="24"/>
        </w:numPr>
      </w:pPr>
      <w:r w:rsidRPr="00F3706B">
        <w:t>Mandatory authentication, integrity and confidenti</w:t>
      </w:r>
      <w:r w:rsidR="00F3706B" w:rsidRPr="00F3706B">
        <w:t>a</w:t>
      </w:r>
      <w:r w:rsidRPr="00F3706B">
        <w:t>lity protection on future Diameter interfaces. This is to ensure that all service providers in the IPX ecosystem apply this security mechanism from the start for these services and there are no exceptions that would break the total security concept for these services.</w:t>
      </w:r>
    </w:p>
    <w:p w14:paraId="54490710" w14:textId="77777777" w:rsidR="00873EB1" w:rsidRPr="00F3706B" w:rsidRDefault="00873EB1" w:rsidP="008706AD">
      <w:pPr>
        <w:pStyle w:val="NormalParagraph"/>
        <w:numPr>
          <w:ilvl w:val="0"/>
          <w:numId w:val="24"/>
        </w:numPr>
      </w:pPr>
      <w:r w:rsidRPr="00F3706B">
        <w:t>Optional authentication, integrity and confidentiality measures on the existing S6a, S6d, S9 and S13 interfaces</w:t>
      </w:r>
    </w:p>
    <w:p w14:paraId="10A0DAD7" w14:textId="77777777" w:rsidR="00873EB1" w:rsidRPr="00F3706B" w:rsidRDefault="00873EB1" w:rsidP="00873EB1">
      <w:pPr>
        <w:pStyle w:val="NormalParagraph"/>
      </w:pPr>
      <w:r w:rsidRPr="00F3706B">
        <w:t>For all above interfaces the following set of principles applies:</w:t>
      </w:r>
    </w:p>
    <w:p w14:paraId="05F81E69" w14:textId="77777777" w:rsidR="00873EB1" w:rsidRPr="00F3706B" w:rsidRDefault="00873EB1" w:rsidP="008706AD">
      <w:pPr>
        <w:pStyle w:val="NormalParagraph"/>
        <w:numPr>
          <w:ilvl w:val="0"/>
          <w:numId w:val="24"/>
        </w:numPr>
        <w:spacing w:after="60"/>
      </w:pPr>
      <w:r w:rsidRPr="00F3706B">
        <w:t>Support of intermediate adding of AVPs by IPX providers</w:t>
      </w:r>
    </w:p>
    <w:p w14:paraId="1AB34D61" w14:textId="77777777" w:rsidR="00873EB1" w:rsidRPr="00F3706B" w:rsidRDefault="00873EB1" w:rsidP="008706AD">
      <w:pPr>
        <w:pStyle w:val="NormalParagraph"/>
        <w:numPr>
          <w:ilvl w:val="0"/>
          <w:numId w:val="24"/>
        </w:numPr>
        <w:rPr>
          <w:lang w:eastAsia="en-US" w:bidi="bn-BD"/>
        </w:rPr>
      </w:pPr>
      <w:r w:rsidRPr="00F3706B">
        <w:t>Support of intermediate modification and deletion of non-encrypted AVPs by IPX providers, except for AVPs classified as not modifiable</w:t>
      </w:r>
    </w:p>
    <w:p w14:paraId="6BAC54A8" w14:textId="77777777" w:rsidR="00873EB1" w:rsidRPr="008706AD" w:rsidRDefault="00873EB1" w:rsidP="00873EB1">
      <w:pPr>
        <w:pStyle w:val="ANNEX-heading3"/>
        <w:rPr>
          <w:lang w:val="en-GB"/>
        </w:rPr>
      </w:pPr>
      <w:bookmarkStart w:id="32" w:name="_Toc498678056"/>
      <w:bookmarkStart w:id="33" w:name="_Ref2626708"/>
      <w:bookmarkStart w:id="34" w:name="_Ref2685277"/>
      <w:bookmarkStart w:id="35" w:name="_Ref2958489"/>
      <w:r w:rsidRPr="008706AD">
        <w:rPr>
          <w:lang w:val="en-GB"/>
        </w:rPr>
        <w:t>General ‘Rule of Thumb’ for AVPs that require protection</w:t>
      </w:r>
      <w:bookmarkEnd w:id="32"/>
      <w:bookmarkEnd w:id="33"/>
      <w:bookmarkEnd w:id="34"/>
      <w:bookmarkEnd w:id="35"/>
    </w:p>
    <w:p w14:paraId="4D38A9BE" w14:textId="77777777" w:rsidR="00873EB1" w:rsidRPr="00F3706B" w:rsidRDefault="00873EB1" w:rsidP="00873EB1">
      <w:pPr>
        <w:pStyle w:val="NormalParagraph"/>
        <w:spacing w:after="60"/>
      </w:pPr>
      <w:r w:rsidRPr="00F3706B">
        <w:t xml:space="preserve">The general ‘rule of thumb’ for the AVP protection scheme within the secure perimeter (see for more details the description in section </w:t>
      </w:r>
      <w:r w:rsidRPr="00F3706B">
        <w:fldChar w:fldCharType="begin"/>
      </w:r>
      <w:r w:rsidRPr="00F3706B">
        <w:instrText xml:space="preserve"> REF _Ref536782322 \r \h </w:instrText>
      </w:r>
      <w:r w:rsidRPr="00F3706B">
        <w:fldChar w:fldCharType="separate"/>
      </w:r>
      <w:r w:rsidRPr="00F3706B">
        <w:t>D.3.3</w:t>
      </w:r>
      <w:r w:rsidRPr="00F3706B">
        <w:fldChar w:fldCharType="end"/>
      </w:r>
      <w:r w:rsidRPr="00F3706B">
        <w:t>) is as follows:</w:t>
      </w:r>
    </w:p>
    <w:p w14:paraId="11D4A97B" w14:textId="77777777" w:rsidR="00873EB1" w:rsidRPr="00F3706B" w:rsidRDefault="00873EB1" w:rsidP="008706AD">
      <w:pPr>
        <w:pStyle w:val="ListNumber"/>
        <w:numPr>
          <w:ilvl w:val="0"/>
          <w:numId w:val="25"/>
        </w:numPr>
        <w:spacing w:after="60"/>
        <w:contextualSpacing w:val="0"/>
        <w:jc w:val="left"/>
        <w:rPr>
          <w:lang w:eastAsia="en-US"/>
        </w:rPr>
      </w:pPr>
      <w:r w:rsidRPr="00F3706B">
        <w:rPr>
          <w:b/>
          <w:lang w:eastAsia="en-US"/>
        </w:rPr>
        <w:t>Confidentiality Protected (and Integrity Protected) –</w:t>
      </w:r>
      <w:r w:rsidRPr="00F3706B">
        <w:rPr>
          <w:lang w:eastAsia="en-US"/>
        </w:rPr>
        <w:t xml:space="preserve"> is required for all AVPs that contain user data (and subject to data protection regulations like GDPR), or other data where eavesdropping is a realistic threat (like authentication vectors).</w:t>
      </w:r>
    </w:p>
    <w:p w14:paraId="267683CA" w14:textId="77777777" w:rsidR="00873EB1" w:rsidRPr="00F3706B" w:rsidRDefault="00873EB1" w:rsidP="00873EB1">
      <w:pPr>
        <w:pStyle w:val="ListNumber"/>
        <w:numPr>
          <w:ilvl w:val="0"/>
          <w:numId w:val="0"/>
        </w:numPr>
        <w:spacing w:after="60"/>
        <w:ind w:left="680"/>
        <w:contextualSpacing w:val="0"/>
        <w:jc w:val="left"/>
      </w:pPr>
      <w:r w:rsidRPr="00F3706B">
        <w:t>Encrypt only those AVPs that contain sensitive user information to limit the impact of encryption (like backward compatibility issues with the transfer by existing DRAs and DEAs, the increase on the message length and the extra processing overhead).</w:t>
      </w:r>
    </w:p>
    <w:p w14:paraId="2BAAA763" w14:textId="0F98E2CF" w:rsidR="00873EB1" w:rsidRPr="00F3706B" w:rsidRDefault="00873EB1" w:rsidP="00873EB1">
      <w:pPr>
        <w:pStyle w:val="ListNumber"/>
        <w:numPr>
          <w:ilvl w:val="0"/>
          <w:numId w:val="0"/>
        </w:numPr>
        <w:spacing w:after="60"/>
        <w:ind w:left="680"/>
        <w:contextualSpacing w:val="0"/>
        <w:jc w:val="left"/>
      </w:pPr>
      <w:r w:rsidRPr="00F3706B">
        <w:rPr>
          <w:lang w:eastAsia="en-US"/>
        </w:rPr>
        <w:t xml:space="preserve">The encryption is typically edge-to-edge between sending SP and receiving SP which makes these AVPs not </w:t>
      </w:r>
      <w:r w:rsidR="00F3706B" w:rsidRPr="00F3706B">
        <w:rPr>
          <w:lang w:eastAsia="en-US"/>
        </w:rPr>
        <w:t>accessible</w:t>
      </w:r>
      <w:r w:rsidRPr="00F3706B">
        <w:rPr>
          <w:lang w:eastAsia="en-US"/>
        </w:rPr>
        <w:t xml:space="preserve"> to intermediate entities like IPX providers unless the SP has delegated the AVP protection to its supporting IPX carrier. </w:t>
      </w:r>
    </w:p>
    <w:p w14:paraId="4CE453FC" w14:textId="77777777" w:rsidR="00873EB1" w:rsidRPr="00F3706B" w:rsidRDefault="00873EB1" w:rsidP="008706AD">
      <w:pPr>
        <w:pStyle w:val="ListNumber"/>
        <w:numPr>
          <w:ilvl w:val="0"/>
          <w:numId w:val="25"/>
        </w:numPr>
        <w:spacing w:after="60"/>
        <w:contextualSpacing w:val="0"/>
        <w:jc w:val="left"/>
      </w:pPr>
      <w:r w:rsidRPr="00F3706B">
        <w:rPr>
          <w:b/>
        </w:rPr>
        <w:t>Integrity Protected –</w:t>
      </w:r>
      <w:r w:rsidRPr="00F3706B">
        <w:t xml:space="preserve"> applies to all other AVPs except for the Route-Record. </w:t>
      </w:r>
    </w:p>
    <w:p w14:paraId="6E76CE46" w14:textId="77777777" w:rsidR="00873EB1" w:rsidRPr="00F3706B" w:rsidRDefault="00873EB1" w:rsidP="00873EB1">
      <w:pPr>
        <w:pStyle w:val="ListNumber"/>
        <w:numPr>
          <w:ilvl w:val="0"/>
          <w:numId w:val="0"/>
        </w:numPr>
        <w:spacing w:after="60"/>
        <w:ind w:left="680"/>
        <w:contextualSpacing w:val="0"/>
        <w:jc w:val="left"/>
      </w:pPr>
      <w:r w:rsidRPr="00F3706B">
        <w:t>By default integrity protected AVPs are allowed to be modified (additions, deletions and changes) by intermediate entities like IPX providers, except for AVPs that are encrypted (see above) and for AVPs marked as not modifiable.</w:t>
      </w:r>
    </w:p>
    <w:p w14:paraId="5ED44A90" w14:textId="1CAF7684" w:rsidR="00873EB1" w:rsidRPr="00F3706B" w:rsidRDefault="00873EB1" w:rsidP="00873EB1">
      <w:pPr>
        <w:pStyle w:val="ListNumber"/>
        <w:numPr>
          <w:ilvl w:val="0"/>
          <w:numId w:val="0"/>
        </w:numPr>
        <w:spacing w:after="60"/>
        <w:ind w:left="680"/>
        <w:contextualSpacing w:val="0"/>
        <w:jc w:val="left"/>
      </w:pPr>
      <w:r w:rsidRPr="00F3706B">
        <w:lastRenderedPageBreak/>
        <w:t xml:space="preserve">AVPs not modifiable typically refers to AVPs containing the Session ID, AVPs with vendor specific information as well as host names and realms to ensure </w:t>
      </w:r>
      <w:r w:rsidR="00F3706B">
        <w:t>trustworthiness</w:t>
      </w:r>
      <w:r w:rsidRPr="00F3706B">
        <w:t xml:space="preserve"> and transparency of the AVP network routing information between sending SP and receiving SP. </w:t>
      </w:r>
    </w:p>
    <w:p w14:paraId="113D6F53" w14:textId="68C62B3A" w:rsidR="00873EB1" w:rsidRPr="00F3706B" w:rsidRDefault="00873EB1" w:rsidP="00873EB1">
      <w:pPr>
        <w:pStyle w:val="ListNumber"/>
        <w:numPr>
          <w:ilvl w:val="0"/>
          <w:numId w:val="0"/>
        </w:numPr>
        <w:spacing w:after="60"/>
        <w:ind w:left="680"/>
        <w:contextualSpacing w:val="0"/>
        <w:jc w:val="left"/>
      </w:pPr>
      <w:r w:rsidRPr="00F3706B">
        <w:t>Please note in this context that IPX providers may accommodate incompa</w:t>
      </w:r>
      <w:r w:rsidR="00F3706B">
        <w:t>ti</w:t>
      </w:r>
      <w:r w:rsidRPr="00F3706B">
        <w:t xml:space="preserve">bilities of address formats like Origin-Realm and Destination-Realm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 These AVPs fall in the category “Integrity Protected Unmodifiable” as their contents should not be changed or replaced because these AVPs are used by the edge operators to apply the correct keys for the protection schemes.</w:t>
      </w:r>
    </w:p>
    <w:p w14:paraId="7CE48409" w14:textId="77777777" w:rsidR="00873EB1" w:rsidRPr="00F3706B" w:rsidRDefault="00873EB1" w:rsidP="008706AD">
      <w:pPr>
        <w:pStyle w:val="ListNumber"/>
        <w:numPr>
          <w:ilvl w:val="0"/>
          <w:numId w:val="25"/>
        </w:numPr>
        <w:spacing w:after="60"/>
        <w:contextualSpacing w:val="0"/>
        <w:jc w:val="left"/>
      </w:pPr>
      <w:r w:rsidRPr="00F3706B">
        <w:rPr>
          <w:b/>
        </w:rPr>
        <w:t>Not Protected –</w:t>
      </w:r>
      <w:r w:rsidRPr="00F3706B">
        <w:t xml:space="preserve"> refers to the Route-Record to avoid that every hop needs to add a signature and to avoid backward compatibility issues with basic IP routing practices. Although the AVP Route-Record is not protected because modification, insertion or deletion of the AVP Route-Record is not detectable, such actions are undesirable as these will frustrate fault resolution and security in general.  </w:t>
      </w:r>
    </w:p>
    <w:p w14:paraId="65AA5902" w14:textId="77777777" w:rsidR="00873EB1" w:rsidRPr="00F3706B" w:rsidRDefault="00873EB1" w:rsidP="008706AD">
      <w:pPr>
        <w:pStyle w:val="ListNumber"/>
        <w:numPr>
          <w:ilvl w:val="0"/>
          <w:numId w:val="25"/>
        </w:numPr>
        <w:spacing w:after="60"/>
        <w:contextualSpacing w:val="0"/>
        <w:jc w:val="left"/>
      </w:pPr>
      <w:r w:rsidRPr="00F3706B">
        <w:rPr>
          <w:rFonts w:eastAsia="Times New Roman"/>
          <w:b/>
          <w:color w:val="000000"/>
          <w:sz w:val="21"/>
          <w:szCs w:val="21"/>
        </w:rPr>
        <w:t xml:space="preserve">Grouped AVPs – </w:t>
      </w:r>
      <w:r w:rsidRPr="00F3706B">
        <w:rPr>
          <w:rFonts w:eastAsia="Times New Roman"/>
          <w:color w:val="000000"/>
          <w:sz w:val="21"/>
          <w:szCs w:val="21"/>
        </w:rPr>
        <w:t>the same protection applies to all AVPs, thus the nested AVPs shall be protected the same manner as the ‘parent’ AVP at the layer 0 of the Grouped AVP.</w:t>
      </w:r>
    </w:p>
    <w:p w14:paraId="532598C9" w14:textId="77777777" w:rsidR="00873EB1" w:rsidRPr="00F3706B" w:rsidRDefault="00873EB1" w:rsidP="00873EB1">
      <w:pPr>
        <w:pStyle w:val="NormalParagraph"/>
      </w:pPr>
      <w:r w:rsidRPr="00F3706B">
        <w:rPr>
          <w:lang w:eastAsia="en-US" w:bidi="bn-BD"/>
        </w:rPr>
        <w:t>Measures</w:t>
      </w:r>
      <w:r w:rsidRPr="00F3706B">
        <w:t xml:space="preserve"> are taken to ensure that IPX providers can still deliver both roaming and SMS hub services by splitting the secure perimeter in this case in 2 distinct parts. Please refer to </w:t>
      </w:r>
      <w:r w:rsidRPr="00F3706B">
        <w:fldChar w:fldCharType="begin"/>
      </w:r>
      <w:r w:rsidRPr="00F3706B">
        <w:instrText xml:space="preserve"> REF _Ref536784378 \r \h </w:instrText>
      </w:r>
      <w:r w:rsidRPr="00F3706B">
        <w:fldChar w:fldCharType="separate"/>
      </w:r>
      <w:r w:rsidRPr="00F3706B">
        <w:t>D.3.3</w:t>
      </w:r>
      <w:r w:rsidRPr="00F3706B">
        <w:fldChar w:fldCharType="end"/>
      </w:r>
      <w:r w:rsidRPr="00F3706B">
        <w:t xml:space="preserve"> for further details and the various scenarios of the secure perimeter.</w:t>
      </w:r>
    </w:p>
    <w:p w14:paraId="646348E9" w14:textId="77777777" w:rsidR="00873EB1" w:rsidRPr="008706AD" w:rsidRDefault="00873EB1" w:rsidP="00873EB1">
      <w:pPr>
        <w:pStyle w:val="ANNEX-heading3"/>
        <w:rPr>
          <w:lang w:val="en-GB"/>
        </w:rPr>
      </w:pPr>
      <w:bookmarkStart w:id="36" w:name="_Toc486859210"/>
      <w:bookmarkStart w:id="37" w:name="_Toc498678057"/>
      <w:bookmarkStart w:id="38" w:name="_Ref2958494"/>
      <w:r w:rsidRPr="008706AD">
        <w:rPr>
          <w:lang w:val="en-GB"/>
        </w:rPr>
        <w:t>AVP protection scheme</w:t>
      </w:r>
      <w:bookmarkEnd w:id="36"/>
      <w:r w:rsidRPr="008706AD">
        <w:rPr>
          <w:lang w:val="en-GB"/>
        </w:rPr>
        <w:t xml:space="preserve"> for LTE</w:t>
      </w:r>
      <w:bookmarkEnd w:id="37"/>
      <w:bookmarkEnd w:id="38"/>
    </w:p>
    <w:p w14:paraId="4FF0F014" w14:textId="77777777" w:rsidR="00873EB1" w:rsidRPr="00F3706B" w:rsidRDefault="00873EB1" w:rsidP="00873EB1">
      <w:pPr>
        <w:pStyle w:val="NormalParagraph"/>
        <w:rPr>
          <w:lang w:eastAsia="en-US" w:bidi="bn-BD"/>
        </w:rPr>
      </w:pPr>
      <w:r w:rsidRPr="00F3706B">
        <w:rPr>
          <w:lang w:eastAsia="en-US" w:bidi="bn-BD"/>
        </w:rPr>
        <w:t xml:space="preserve">For the classification of confidentiality and integrity protection of AVPs, the protection values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The matrix specifies per AVP the type of protection that applies to a specific AVP.</w:t>
      </w:r>
    </w:p>
    <w:p w14:paraId="69371C82" w14:textId="77777777" w:rsidR="00873EB1" w:rsidRPr="00F3706B" w:rsidRDefault="00873EB1" w:rsidP="00873EB1">
      <w:pPr>
        <w:pStyle w:val="NormalParagraph"/>
        <w:rPr>
          <w:lang w:eastAsia="en-US" w:bidi="bn-BD"/>
        </w:rPr>
      </w:pPr>
      <w:r w:rsidRPr="00F3706B">
        <w:rPr>
          <w:lang w:eastAsia="en-US" w:bidi="bn-BD"/>
        </w:rPr>
        <w:t xml:space="preserve">The following </w:t>
      </w:r>
      <w:r w:rsidRPr="00F3706B">
        <w:rPr>
          <w:lang w:eastAsia="en-US" w:bidi="bn-BD"/>
        </w:rPr>
        <w:fldChar w:fldCharType="begin"/>
      </w:r>
      <w:r w:rsidRPr="00F3706B">
        <w:rPr>
          <w:lang w:eastAsia="en-US" w:bidi="bn-BD"/>
        </w:rPr>
        <w:instrText xml:space="preserve"> REF _Ref2684851 \r \h </w:instrText>
      </w:r>
      <w:r w:rsidRPr="00F3706B">
        <w:rPr>
          <w:lang w:eastAsia="en-US" w:bidi="bn-BD"/>
        </w:rPr>
      </w:r>
      <w:r w:rsidRPr="00F3706B">
        <w:rPr>
          <w:lang w:eastAsia="en-US" w:bidi="bn-BD"/>
        </w:rPr>
        <w:fldChar w:fldCharType="separate"/>
      </w:r>
      <w:r w:rsidRPr="00F3706B">
        <w:rPr>
          <w:lang w:eastAsia="en-US" w:bidi="bn-BD"/>
        </w:rPr>
        <w:t>Table 53</w:t>
      </w:r>
      <w:r w:rsidRPr="00F3706B">
        <w:rPr>
          <w:lang w:eastAsia="en-US" w:bidi="bn-BD"/>
        </w:rPr>
        <w:fldChar w:fldCharType="end"/>
      </w:r>
      <w:r w:rsidRPr="00F3706B">
        <w:rPr>
          <w:lang w:eastAsia="en-US" w:bidi="bn-BD"/>
        </w:rPr>
        <w:t xml:space="preserve"> shows the allowed values of the security columns that classify the type of protection per AVP in accordance to the rule of thumb in section </w:t>
      </w:r>
      <w:r w:rsidRPr="00F3706B">
        <w:rPr>
          <w:lang w:eastAsia="en-US" w:bidi="bn-BD"/>
        </w:rPr>
        <w:fldChar w:fldCharType="begin"/>
      </w:r>
      <w:r w:rsidRPr="00F3706B">
        <w:rPr>
          <w:lang w:eastAsia="en-US" w:bidi="bn-BD"/>
        </w:rPr>
        <w:instrText xml:space="preserve"> REF _Ref2626708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The additional column “Semantics” clarifies the relationship between the values in the columns for the AVP protection scheme. The same colouring scheme (Orange, Yellow, White and Blue) is used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669"/>
        <w:gridCol w:w="1477"/>
        <w:gridCol w:w="1410"/>
        <w:gridCol w:w="1415"/>
        <w:gridCol w:w="3045"/>
      </w:tblGrid>
      <w:tr w:rsidR="00873EB1" w:rsidRPr="00F3706B" w14:paraId="7E416023" w14:textId="77777777" w:rsidTr="00B2432E">
        <w:trPr>
          <w:trHeight w:val="351"/>
        </w:trPr>
        <w:tc>
          <w:tcPr>
            <w:tcW w:w="1671" w:type="dxa"/>
            <w:vMerge w:val="restart"/>
            <w:shd w:val="clear" w:color="auto" w:fill="DE002B"/>
          </w:tcPr>
          <w:p w14:paraId="024DA0FD" w14:textId="77777777" w:rsidR="00873EB1" w:rsidRPr="00F3706B" w:rsidRDefault="00873EB1" w:rsidP="00B2432E">
            <w:pPr>
              <w:pStyle w:val="TableHeader"/>
              <w:spacing w:after="60"/>
              <w:jc w:val="center"/>
              <w:rPr>
                <w:lang w:val="en-GB"/>
              </w:rPr>
            </w:pPr>
            <w:r w:rsidRPr="00F3706B">
              <w:rPr>
                <w:lang w:val="en-GB"/>
              </w:rPr>
              <w:t>Confidentiality</w:t>
            </w:r>
            <w:r w:rsidRPr="00F3706B">
              <w:rPr>
                <w:lang w:val="en-GB"/>
              </w:rPr>
              <w:br/>
              <w:t>Protected</w:t>
            </w:r>
          </w:p>
        </w:tc>
        <w:tc>
          <w:tcPr>
            <w:tcW w:w="2924" w:type="dxa"/>
            <w:gridSpan w:val="2"/>
            <w:shd w:val="clear" w:color="auto" w:fill="DE002B"/>
          </w:tcPr>
          <w:p w14:paraId="7725C3C0" w14:textId="77777777" w:rsidR="00873EB1" w:rsidRPr="00F3706B" w:rsidRDefault="00873EB1" w:rsidP="00B2432E">
            <w:pPr>
              <w:pStyle w:val="TableHeader"/>
              <w:spacing w:after="60"/>
              <w:jc w:val="center"/>
              <w:rPr>
                <w:lang w:val="en-GB"/>
              </w:rPr>
            </w:pPr>
            <w:r w:rsidRPr="00F3706B">
              <w:rPr>
                <w:lang w:val="en-GB"/>
              </w:rPr>
              <w:t>Integrity</w:t>
            </w:r>
          </w:p>
        </w:tc>
        <w:tc>
          <w:tcPr>
            <w:tcW w:w="1434" w:type="dxa"/>
            <w:vMerge w:val="restart"/>
            <w:shd w:val="clear" w:color="auto" w:fill="DE002B"/>
          </w:tcPr>
          <w:p w14:paraId="7ED3A5A5" w14:textId="77777777" w:rsidR="00873EB1" w:rsidRPr="00F3706B" w:rsidRDefault="00873EB1" w:rsidP="00B2432E">
            <w:pPr>
              <w:pStyle w:val="TableHeader"/>
              <w:spacing w:after="60"/>
              <w:jc w:val="center"/>
              <w:rPr>
                <w:lang w:val="en-GB"/>
              </w:rPr>
            </w:pPr>
            <w:r w:rsidRPr="00F3706B">
              <w:rPr>
                <w:lang w:val="en-GB"/>
              </w:rPr>
              <w:t>Not Protected</w:t>
            </w:r>
          </w:p>
        </w:tc>
        <w:tc>
          <w:tcPr>
            <w:tcW w:w="3151" w:type="dxa"/>
            <w:vMerge w:val="restart"/>
            <w:shd w:val="clear" w:color="auto" w:fill="DE002B"/>
          </w:tcPr>
          <w:p w14:paraId="18869651" w14:textId="77777777" w:rsidR="00873EB1" w:rsidRPr="008706AD" w:rsidRDefault="00873EB1" w:rsidP="00B2432E">
            <w:pPr>
              <w:pStyle w:val="TableHeader"/>
              <w:jc w:val="center"/>
              <w:rPr>
                <w:lang w:val="en-GB"/>
              </w:rPr>
            </w:pPr>
            <w:r w:rsidRPr="008706AD">
              <w:rPr>
                <w:lang w:val="en-GB"/>
              </w:rPr>
              <w:t>Semantics</w:t>
            </w:r>
          </w:p>
        </w:tc>
      </w:tr>
      <w:tr w:rsidR="00873EB1" w:rsidRPr="00F3706B" w14:paraId="635B99F9" w14:textId="77777777" w:rsidTr="00B2432E">
        <w:trPr>
          <w:trHeight w:val="240"/>
        </w:trPr>
        <w:tc>
          <w:tcPr>
            <w:tcW w:w="1671" w:type="dxa"/>
            <w:vMerge/>
            <w:shd w:val="clear" w:color="auto" w:fill="DE002B"/>
          </w:tcPr>
          <w:p w14:paraId="2D122031" w14:textId="77777777" w:rsidR="00873EB1" w:rsidRPr="00F3706B" w:rsidRDefault="00873EB1" w:rsidP="00B2432E">
            <w:pPr>
              <w:pStyle w:val="TableHeader"/>
              <w:spacing w:after="60"/>
              <w:jc w:val="center"/>
              <w:rPr>
                <w:lang w:val="en-GB"/>
              </w:rPr>
            </w:pPr>
          </w:p>
        </w:tc>
        <w:tc>
          <w:tcPr>
            <w:tcW w:w="1500" w:type="dxa"/>
            <w:shd w:val="clear" w:color="auto" w:fill="DE002B"/>
          </w:tcPr>
          <w:p w14:paraId="2B69CCD9" w14:textId="77777777" w:rsidR="00873EB1" w:rsidRPr="00F3706B" w:rsidRDefault="00873EB1" w:rsidP="00B2432E">
            <w:pPr>
              <w:pStyle w:val="TableHeader"/>
              <w:spacing w:after="60" w:line="240" w:lineRule="auto"/>
              <w:jc w:val="center"/>
              <w:rPr>
                <w:lang w:val="en-GB"/>
              </w:rPr>
            </w:pPr>
            <w:r w:rsidRPr="00F3706B">
              <w:rPr>
                <w:lang w:val="en-GB"/>
              </w:rPr>
              <w:t>Protected</w:t>
            </w:r>
          </w:p>
        </w:tc>
        <w:tc>
          <w:tcPr>
            <w:tcW w:w="1424" w:type="dxa"/>
            <w:shd w:val="clear" w:color="auto" w:fill="DE002B"/>
          </w:tcPr>
          <w:p w14:paraId="14E45A88" w14:textId="77777777" w:rsidR="00873EB1" w:rsidRPr="00F3706B" w:rsidRDefault="00873EB1" w:rsidP="00B2432E">
            <w:pPr>
              <w:pStyle w:val="TableHeader"/>
              <w:spacing w:after="60" w:line="240" w:lineRule="auto"/>
              <w:jc w:val="center"/>
              <w:rPr>
                <w:lang w:val="en-GB"/>
              </w:rPr>
            </w:pPr>
            <w:r w:rsidRPr="00F3706B">
              <w:rPr>
                <w:lang w:val="en-GB"/>
              </w:rPr>
              <w:t>Modifiable</w:t>
            </w:r>
          </w:p>
        </w:tc>
        <w:tc>
          <w:tcPr>
            <w:tcW w:w="1434" w:type="dxa"/>
            <w:vMerge/>
            <w:shd w:val="clear" w:color="auto" w:fill="DE002B"/>
          </w:tcPr>
          <w:p w14:paraId="1771C1A4" w14:textId="77777777" w:rsidR="00873EB1" w:rsidRPr="00F3706B" w:rsidRDefault="00873EB1" w:rsidP="00B2432E">
            <w:pPr>
              <w:pStyle w:val="TableHeader"/>
              <w:spacing w:after="60"/>
              <w:jc w:val="center"/>
              <w:rPr>
                <w:lang w:val="en-GB"/>
              </w:rPr>
            </w:pPr>
          </w:p>
        </w:tc>
        <w:tc>
          <w:tcPr>
            <w:tcW w:w="3151" w:type="dxa"/>
            <w:vMerge/>
            <w:shd w:val="clear" w:color="auto" w:fill="DE002B"/>
          </w:tcPr>
          <w:p w14:paraId="021E66D5" w14:textId="77777777" w:rsidR="00873EB1" w:rsidRPr="00F3706B" w:rsidRDefault="00873EB1" w:rsidP="00B2432E">
            <w:pPr>
              <w:pStyle w:val="NormalParagraph"/>
              <w:spacing w:before="60" w:after="60"/>
            </w:pPr>
          </w:p>
        </w:tc>
      </w:tr>
      <w:tr w:rsidR="00873EB1" w:rsidRPr="00F3706B" w14:paraId="7874F8FD" w14:textId="77777777" w:rsidTr="00B2432E">
        <w:trPr>
          <w:trHeight w:val="359"/>
        </w:trPr>
        <w:tc>
          <w:tcPr>
            <w:tcW w:w="1671" w:type="dxa"/>
            <w:shd w:val="clear" w:color="auto" w:fill="E36C0A" w:themeFill="accent6" w:themeFillShade="BF"/>
            <w:vAlign w:val="center"/>
          </w:tcPr>
          <w:p w14:paraId="4C2EBFD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500" w:type="dxa"/>
            <w:shd w:val="clear" w:color="auto" w:fill="E36C0A" w:themeFill="accent6" w:themeFillShade="BF"/>
            <w:vAlign w:val="center"/>
          </w:tcPr>
          <w:p w14:paraId="3881CE61"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424" w:type="dxa"/>
            <w:shd w:val="clear" w:color="auto" w:fill="E36C0A" w:themeFill="accent6" w:themeFillShade="BF"/>
            <w:vAlign w:val="center"/>
          </w:tcPr>
          <w:p w14:paraId="66D73913"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E36C0A" w:themeFill="accent6" w:themeFillShade="BF"/>
            <w:vAlign w:val="center"/>
          </w:tcPr>
          <w:p w14:paraId="69B585EF" w14:textId="77777777" w:rsidR="00873EB1" w:rsidRPr="00F3706B" w:rsidRDefault="00873EB1" w:rsidP="00B2432E">
            <w:pPr>
              <w:pStyle w:val="TableText"/>
              <w:jc w:val="center"/>
              <w:rPr>
                <w:b/>
                <w:color w:val="FFFFFF" w:themeColor="background1"/>
              </w:rPr>
            </w:pPr>
            <w:r w:rsidRPr="00F3706B">
              <w:rPr>
                <w:b/>
                <w:color w:val="FFFFFF" w:themeColor="background1"/>
              </w:rPr>
              <w:t>Not applicable</w:t>
            </w:r>
          </w:p>
        </w:tc>
        <w:tc>
          <w:tcPr>
            <w:tcW w:w="3151" w:type="dxa"/>
          </w:tcPr>
          <w:p w14:paraId="73E02193" w14:textId="77777777" w:rsidR="00873EB1" w:rsidRPr="00F3706B" w:rsidRDefault="00873EB1" w:rsidP="00B2432E">
            <w:pPr>
              <w:pStyle w:val="TableText"/>
            </w:pPr>
            <w:r w:rsidRPr="00F3706B">
              <w:t xml:space="preserve">If “Confidentially Protected”, then an AVP becomes automatically “Integrity Protected Unmodifiable”, see also the rule </w:t>
            </w:r>
            <w:r w:rsidRPr="00F3706B">
              <w:rPr>
                <w:lang w:eastAsia="en-US" w:bidi="bn-BD"/>
              </w:rPr>
              <w:t xml:space="preserve">item 1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032D5E08" w14:textId="77777777" w:rsidTr="00B2432E">
        <w:trPr>
          <w:trHeight w:val="635"/>
        </w:trPr>
        <w:tc>
          <w:tcPr>
            <w:tcW w:w="1671" w:type="dxa"/>
            <w:shd w:val="clear" w:color="auto" w:fill="FFFF00"/>
            <w:vAlign w:val="center"/>
          </w:tcPr>
          <w:p w14:paraId="3A80F407"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500" w:type="dxa"/>
            <w:shd w:val="clear" w:color="auto" w:fill="FFFF00"/>
            <w:vAlign w:val="center"/>
          </w:tcPr>
          <w:p w14:paraId="001E7C99" w14:textId="77777777" w:rsidR="00873EB1" w:rsidRPr="00F3706B" w:rsidRDefault="00873EB1" w:rsidP="00B2432E">
            <w:pPr>
              <w:pStyle w:val="TableText"/>
              <w:jc w:val="center"/>
              <w:rPr>
                <w:color w:val="000000" w:themeColor="text1"/>
              </w:rPr>
            </w:pPr>
            <w:r w:rsidRPr="00F3706B">
              <w:rPr>
                <w:color w:val="000000" w:themeColor="text1"/>
              </w:rPr>
              <w:t>Yes</w:t>
            </w:r>
          </w:p>
        </w:tc>
        <w:tc>
          <w:tcPr>
            <w:tcW w:w="1424" w:type="dxa"/>
            <w:shd w:val="clear" w:color="auto" w:fill="FFFF00"/>
            <w:vAlign w:val="center"/>
          </w:tcPr>
          <w:p w14:paraId="2C9EBB12"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434" w:type="dxa"/>
            <w:shd w:val="clear" w:color="auto" w:fill="FFFF00"/>
            <w:vAlign w:val="center"/>
          </w:tcPr>
          <w:p w14:paraId="607B71F0" w14:textId="77777777" w:rsidR="00873EB1" w:rsidRPr="00F3706B" w:rsidRDefault="00873EB1" w:rsidP="00B2432E">
            <w:pPr>
              <w:pStyle w:val="TableText"/>
              <w:jc w:val="center"/>
              <w:rPr>
                <w:b/>
                <w:color w:val="000000" w:themeColor="text1"/>
              </w:rPr>
            </w:pPr>
            <w:r w:rsidRPr="00F3706B">
              <w:rPr>
                <w:color w:val="000000" w:themeColor="text1"/>
              </w:rPr>
              <w:t xml:space="preserve">Not </w:t>
            </w:r>
          </w:p>
          <w:p w14:paraId="7ACEE897" w14:textId="77777777" w:rsidR="00873EB1" w:rsidRPr="00F3706B" w:rsidRDefault="00873EB1" w:rsidP="00B2432E">
            <w:pPr>
              <w:pStyle w:val="TableText"/>
              <w:jc w:val="center"/>
              <w:rPr>
                <w:color w:val="000000" w:themeColor="text1"/>
              </w:rPr>
            </w:pPr>
            <w:r w:rsidRPr="00F3706B">
              <w:rPr>
                <w:color w:val="000000" w:themeColor="text1"/>
              </w:rPr>
              <w:t>applicable</w:t>
            </w:r>
          </w:p>
        </w:tc>
        <w:tc>
          <w:tcPr>
            <w:tcW w:w="3151" w:type="dxa"/>
            <w:vMerge w:val="restart"/>
          </w:tcPr>
          <w:p w14:paraId="6EBDD1FA" w14:textId="77777777" w:rsidR="00873EB1" w:rsidRPr="00F3706B" w:rsidRDefault="00873EB1" w:rsidP="00B2432E">
            <w:pPr>
              <w:pStyle w:val="TableText"/>
            </w:pPr>
            <w:r w:rsidRPr="00F3706B">
              <w:t xml:space="preserve">If “Integrity Protected”, an AVP may be “Modifiable” (includes addition and deletion) or “Unmodifiable”, see also the rule </w:t>
            </w:r>
            <w:r w:rsidRPr="00F3706B">
              <w:rPr>
                <w:lang w:eastAsia="en-US" w:bidi="bn-BD"/>
              </w:rPr>
              <w:t xml:space="preserve">item 2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17390FDC" w14:textId="77777777" w:rsidTr="00B2432E">
        <w:tc>
          <w:tcPr>
            <w:tcW w:w="1671" w:type="dxa"/>
            <w:shd w:val="clear" w:color="auto" w:fill="auto"/>
            <w:vAlign w:val="center"/>
          </w:tcPr>
          <w:p w14:paraId="7E7D1645" w14:textId="77777777" w:rsidR="00873EB1" w:rsidRPr="00F3706B" w:rsidRDefault="00873EB1" w:rsidP="00B2432E">
            <w:pPr>
              <w:pStyle w:val="TableText"/>
              <w:jc w:val="center"/>
            </w:pPr>
            <w:r w:rsidRPr="00F3706B">
              <w:t>No</w:t>
            </w:r>
          </w:p>
        </w:tc>
        <w:tc>
          <w:tcPr>
            <w:tcW w:w="1500" w:type="dxa"/>
            <w:shd w:val="clear" w:color="auto" w:fill="auto"/>
            <w:vAlign w:val="center"/>
          </w:tcPr>
          <w:p w14:paraId="1FCC4C35" w14:textId="77777777" w:rsidR="00873EB1" w:rsidRPr="00F3706B" w:rsidRDefault="00873EB1" w:rsidP="00B2432E">
            <w:pPr>
              <w:pStyle w:val="TableText"/>
              <w:jc w:val="center"/>
            </w:pPr>
            <w:r w:rsidRPr="00F3706B">
              <w:t>Yes</w:t>
            </w:r>
          </w:p>
        </w:tc>
        <w:tc>
          <w:tcPr>
            <w:tcW w:w="1424" w:type="dxa"/>
            <w:shd w:val="clear" w:color="auto" w:fill="auto"/>
            <w:vAlign w:val="center"/>
          </w:tcPr>
          <w:p w14:paraId="7B945076" w14:textId="77777777" w:rsidR="00873EB1" w:rsidRPr="00F3706B" w:rsidRDefault="00873EB1" w:rsidP="00B2432E">
            <w:pPr>
              <w:pStyle w:val="TableText"/>
              <w:jc w:val="center"/>
            </w:pPr>
            <w:r w:rsidRPr="00F3706B">
              <w:t>Yes</w:t>
            </w:r>
          </w:p>
        </w:tc>
        <w:tc>
          <w:tcPr>
            <w:tcW w:w="1434" w:type="dxa"/>
            <w:shd w:val="clear" w:color="auto" w:fill="auto"/>
            <w:vAlign w:val="center"/>
          </w:tcPr>
          <w:p w14:paraId="03DFBC73" w14:textId="77777777" w:rsidR="00873EB1" w:rsidRPr="00F3706B" w:rsidRDefault="00873EB1" w:rsidP="00B2432E">
            <w:pPr>
              <w:pStyle w:val="TableText"/>
              <w:jc w:val="center"/>
            </w:pPr>
            <w:r w:rsidRPr="00F3706B">
              <w:t xml:space="preserve">Not </w:t>
            </w:r>
          </w:p>
          <w:p w14:paraId="394D4BBD" w14:textId="77777777" w:rsidR="00873EB1" w:rsidRPr="00F3706B" w:rsidRDefault="00873EB1" w:rsidP="00B2432E">
            <w:pPr>
              <w:pStyle w:val="TableText"/>
              <w:jc w:val="center"/>
            </w:pPr>
            <w:r w:rsidRPr="00F3706B">
              <w:t>applicable</w:t>
            </w:r>
          </w:p>
        </w:tc>
        <w:tc>
          <w:tcPr>
            <w:tcW w:w="3151" w:type="dxa"/>
            <w:vMerge/>
          </w:tcPr>
          <w:p w14:paraId="655F61D5" w14:textId="77777777" w:rsidR="00873EB1" w:rsidRPr="00F3706B" w:rsidRDefault="00873EB1" w:rsidP="00B2432E">
            <w:pPr>
              <w:pStyle w:val="TableText"/>
            </w:pPr>
          </w:p>
        </w:tc>
      </w:tr>
      <w:tr w:rsidR="00873EB1" w:rsidRPr="00F3706B" w14:paraId="487B5842" w14:textId="77777777" w:rsidTr="00B2432E">
        <w:tc>
          <w:tcPr>
            <w:tcW w:w="1671" w:type="dxa"/>
            <w:shd w:val="clear" w:color="auto" w:fill="00B0F0"/>
            <w:vAlign w:val="center"/>
          </w:tcPr>
          <w:p w14:paraId="0322187B"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500" w:type="dxa"/>
            <w:shd w:val="clear" w:color="auto" w:fill="00B0F0"/>
            <w:vAlign w:val="center"/>
          </w:tcPr>
          <w:p w14:paraId="4E11EAF1"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24" w:type="dxa"/>
            <w:shd w:val="clear" w:color="auto" w:fill="00B0F0"/>
            <w:vAlign w:val="center"/>
          </w:tcPr>
          <w:p w14:paraId="206F0B9A"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00B0F0"/>
            <w:vAlign w:val="center"/>
          </w:tcPr>
          <w:p w14:paraId="5F1CDA9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3151" w:type="dxa"/>
          </w:tcPr>
          <w:p w14:paraId="70FA2C1D" w14:textId="77777777" w:rsidR="00873EB1" w:rsidRPr="00F3706B" w:rsidRDefault="00873EB1" w:rsidP="00B2432E">
            <w:pPr>
              <w:pStyle w:val="TableText"/>
            </w:pPr>
            <w:r w:rsidRPr="00F3706B">
              <w:t xml:space="preserve">If neither “Confidentially Protected” nor “Integrity Protected”, then the AVP is not protected because modification of an AVP is not detectable, see also </w:t>
            </w:r>
            <w:r w:rsidRPr="00F3706B">
              <w:rPr>
                <w:lang w:eastAsia="en-US" w:bidi="bn-BD"/>
              </w:rPr>
              <w:t>item 3</w:t>
            </w:r>
            <w:r w:rsidRPr="00F3706B">
              <w:t xml:space="preserve"> 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p>
        </w:tc>
      </w:tr>
    </w:tbl>
    <w:p w14:paraId="3EF5C267" w14:textId="77777777" w:rsidR="00873EB1" w:rsidRPr="00F3706B" w:rsidRDefault="00873EB1" w:rsidP="00873EB1">
      <w:pPr>
        <w:pStyle w:val="TableCaption"/>
      </w:pPr>
      <w:r w:rsidRPr="00F3706B">
        <w:t xml:space="preserve"> </w:t>
      </w:r>
      <w:bookmarkStart w:id="39" w:name="_Ref2684851"/>
      <w:r w:rsidRPr="00F3706B">
        <w:t>– AVP protection scheme</w:t>
      </w:r>
      <w:bookmarkEnd w:id="39"/>
      <w:r w:rsidRPr="00F3706B">
        <w:t xml:space="preserve"> for LTE</w:t>
      </w:r>
    </w:p>
    <w:p w14:paraId="752FCEDE" w14:textId="77777777" w:rsidR="00873EB1" w:rsidRPr="00F3706B" w:rsidRDefault="00873EB1" w:rsidP="00873EB1">
      <w:pPr>
        <w:pStyle w:val="NormalParagraph"/>
      </w:pPr>
      <w:r w:rsidRPr="00F3706B">
        <w:t xml:space="preserve">Below in </w:t>
      </w:r>
      <w:r w:rsidRPr="00F3706B">
        <w:fldChar w:fldCharType="begin"/>
      </w:r>
      <w:r w:rsidRPr="00F3706B">
        <w:instrText xml:space="preserve"> REF _Ref2684890 \r \h </w:instrText>
      </w:r>
      <w:r w:rsidRPr="00F3706B">
        <w:fldChar w:fldCharType="separate"/>
      </w:r>
      <w:r w:rsidRPr="00F3706B">
        <w:t>Table 54</w:t>
      </w:r>
      <w:r w:rsidRPr="00F3706B">
        <w:fldChar w:fldCharType="end"/>
      </w:r>
      <w:r w:rsidRPr="00F3706B">
        <w:t xml:space="preserve"> are some examples of AVPs and the reasoning why the AVP belongs in a certain category.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6974"/>
      </w:tblGrid>
      <w:tr w:rsidR="00873EB1" w:rsidRPr="00F3706B" w14:paraId="77450B30" w14:textId="77777777" w:rsidTr="00B2432E">
        <w:trPr>
          <w:cantSplit/>
          <w:tblHeader/>
        </w:trPr>
        <w:tc>
          <w:tcPr>
            <w:tcW w:w="2098" w:type="dxa"/>
            <w:shd w:val="clear" w:color="auto" w:fill="DE002B"/>
          </w:tcPr>
          <w:p w14:paraId="4620189A" w14:textId="77777777" w:rsidR="00873EB1" w:rsidRPr="008706AD" w:rsidRDefault="00873EB1" w:rsidP="00B2432E">
            <w:pPr>
              <w:pStyle w:val="TableHeader"/>
              <w:rPr>
                <w:lang w:val="en-GB"/>
              </w:rPr>
            </w:pPr>
            <w:r w:rsidRPr="008706AD">
              <w:rPr>
                <w:lang w:val="en-GB"/>
              </w:rPr>
              <w:t>AVP</w:t>
            </w:r>
          </w:p>
        </w:tc>
        <w:tc>
          <w:tcPr>
            <w:tcW w:w="6974" w:type="dxa"/>
            <w:shd w:val="clear" w:color="auto" w:fill="DE002B"/>
          </w:tcPr>
          <w:p w14:paraId="585CB2D2" w14:textId="77777777" w:rsidR="00873EB1" w:rsidRPr="008706AD" w:rsidRDefault="00873EB1" w:rsidP="00B2432E">
            <w:pPr>
              <w:pStyle w:val="TableHeader"/>
              <w:rPr>
                <w:lang w:val="en-GB"/>
              </w:rPr>
            </w:pPr>
            <w:r w:rsidRPr="008706AD">
              <w:rPr>
                <w:lang w:val="en-GB"/>
              </w:rPr>
              <w:t>Reasoning</w:t>
            </w:r>
          </w:p>
        </w:tc>
      </w:tr>
      <w:tr w:rsidR="00873EB1" w:rsidRPr="00F3706B" w14:paraId="0C6673F5" w14:textId="77777777" w:rsidTr="00B2432E">
        <w:trPr>
          <w:trHeight w:val="1318"/>
        </w:trPr>
        <w:tc>
          <w:tcPr>
            <w:tcW w:w="2098" w:type="dxa"/>
            <w:shd w:val="clear" w:color="auto" w:fill="F79646" w:themeFill="accent6"/>
            <w:vAlign w:val="center"/>
          </w:tcPr>
          <w:p w14:paraId="2ECB15AB" w14:textId="77777777" w:rsidR="00873EB1" w:rsidRPr="00F3706B" w:rsidRDefault="00873EB1" w:rsidP="00B2432E">
            <w:pPr>
              <w:pStyle w:val="TableText"/>
              <w:spacing w:after="120"/>
              <w:rPr>
                <w:b/>
                <w:color w:val="FFFFFF" w:themeColor="background1"/>
              </w:rPr>
            </w:pPr>
            <w:r w:rsidRPr="00F3706B">
              <w:rPr>
                <w:b/>
                <w:color w:val="FFFFFF" w:themeColor="background1"/>
              </w:rPr>
              <w:t>1 User-Name</w:t>
            </w:r>
          </w:p>
          <w:p w14:paraId="400B03E2" w14:textId="77777777" w:rsidR="00873EB1" w:rsidRPr="00F3706B" w:rsidRDefault="00873EB1" w:rsidP="00B2432E">
            <w:pPr>
              <w:pStyle w:val="TableText"/>
              <w:spacing w:after="120"/>
              <w:rPr>
                <w:b/>
                <w:color w:val="FFFFFF" w:themeColor="background1"/>
              </w:rPr>
            </w:pPr>
            <w:r w:rsidRPr="00F3706B">
              <w:rPr>
                <w:b/>
                <w:color w:val="FFFFFF" w:themeColor="background1"/>
              </w:rPr>
              <w:t>1401 Terminal- Information</w:t>
            </w:r>
          </w:p>
          <w:p w14:paraId="01A0C8E0" w14:textId="77777777" w:rsidR="00873EB1" w:rsidRPr="00F3706B" w:rsidRDefault="00873EB1" w:rsidP="00B2432E">
            <w:pPr>
              <w:pStyle w:val="TableText"/>
              <w:spacing w:after="120"/>
              <w:rPr>
                <w:b/>
                <w:color w:val="FFFFFF" w:themeColor="background1"/>
              </w:rPr>
            </w:pPr>
            <w:r w:rsidRPr="00F3706B">
              <w:rPr>
                <w:b/>
                <w:color w:val="FFFFFF" w:themeColor="background1"/>
              </w:rPr>
              <w:t>1448 XRES</w:t>
            </w:r>
          </w:p>
        </w:tc>
        <w:tc>
          <w:tcPr>
            <w:tcW w:w="6974" w:type="dxa"/>
            <w:shd w:val="clear" w:color="auto" w:fill="F79646" w:themeFill="accent6"/>
            <w:vAlign w:val="center"/>
          </w:tcPr>
          <w:p w14:paraId="1046EFB4" w14:textId="77777777" w:rsidR="00873EB1" w:rsidRPr="00F3706B" w:rsidRDefault="00873EB1" w:rsidP="00B2432E">
            <w:pPr>
              <w:pStyle w:val="TableText"/>
              <w:rPr>
                <w:color w:val="FFFFFF" w:themeColor="background1"/>
              </w:rPr>
            </w:pPr>
            <w:r w:rsidRPr="00F3706B">
              <w:rPr>
                <w:color w:val="FFFFFF" w:themeColor="background1"/>
              </w:rPr>
              <w:t>These sample AVPs contain sensitive data (like IMSI, IMEI and key material) that can be exploited by eavesdroppers. These AVPs fall in the category “Confidentiality Protected (and integrity Protected)”.</w:t>
            </w:r>
          </w:p>
        </w:tc>
      </w:tr>
      <w:tr w:rsidR="00873EB1" w:rsidRPr="00F3706B" w14:paraId="548FE89C" w14:textId="77777777" w:rsidTr="00B2432E">
        <w:tc>
          <w:tcPr>
            <w:tcW w:w="2098" w:type="dxa"/>
            <w:shd w:val="clear" w:color="auto" w:fill="FFFF00"/>
            <w:vAlign w:val="center"/>
          </w:tcPr>
          <w:p w14:paraId="517B3962" w14:textId="77777777" w:rsidR="00873EB1" w:rsidRPr="00F3706B" w:rsidRDefault="00873EB1" w:rsidP="00B2432E">
            <w:pPr>
              <w:pStyle w:val="TableText"/>
              <w:spacing w:after="120"/>
            </w:pPr>
            <w:r w:rsidRPr="00F3706B">
              <w:t>296 Origin-Realm</w:t>
            </w:r>
          </w:p>
          <w:p w14:paraId="7F554FB5" w14:textId="77777777" w:rsidR="00873EB1" w:rsidRPr="00F3706B" w:rsidRDefault="00873EB1" w:rsidP="00B2432E">
            <w:pPr>
              <w:pStyle w:val="TableText"/>
              <w:spacing w:after="120"/>
            </w:pPr>
            <w:r w:rsidRPr="00F3706B">
              <w:t>283 Destination-Realm</w:t>
            </w:r>
          </w:p>
        </w:tc>
        <w:tc>
          <w:tcPr>
            <w:tcW w:w="6974" w:type="dxa"/>
            <w:shd w:val="clear" w:color="auto" w:fill="FFFF00"/>
            <w:vAlign w:val="center"/>
          </w:tcPr>
          <w:p w14:paraId="06DFD8E1" w14:textId="697F5578" w:rsidR="00873EB1" w:rsidRPr="00F3706B" w:rsidRDefault="00873EB1" w:rsidP="00F3706B">
            <w:pPr>
              <w:pStyle w:val="TableText"/>
            </w:pPr>
            <w:r w:rsidRPr="00F3706B">
              <w:t>This sample AVP contains essential information about the sender and the routing of the message. This AVP falls in the category “Integrity Protected Unmodifiable” and should not be changed or replaced by IPX providers because the Origin-Realm and Destination-Realm are used by the edge operators to apply the correct keys for both the encryption scheme and the signing scheme. Please note that IPX providers may accommodate incompa</w:t>
            </w:r>
            <w:r w:rsidR="00F3706B">
              <w:t>ti</w:t>
            </w:r>
            <w:r w:rsidRPr="00F3706B">
              <w:t xml:space="preserve">bilities of address formats of realms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w:t>
            </w:r>
          </w:p>
        </w:tc>
      </w:tr>
      <w:tr w:rsidR="00873EB1" w:rsidRPr="00F3706B" w14:paraId="2E4B3246" w14:textId="77777777" w:rsidTr="00B2432E">
        <w:tc>
          <w:tcPr>
            <w:tcW w:w="2098" w:type="dxa"/>
            <w:vAlign w:val="center"/>
          </w:tcPr>
          <w:p w14:paraId="2FDB7D58" w14:textId="77777777" w:rsidR="00873EB1" w:rsidRPr="00F3706B" w:rsidRDefault="00873EB1" w:rsidP="00B2432E">
            <w:pPr>
              <w:pStyle w:val="TableText"/>
            </w:pPr>
            <w:r w:rsidRPr="00F3706B">
              <w:t>1433 STN-SR</w:t>
            </w:r>
          </w:p>
        </w:tc>
        <w:tc>
          <w:tcPr>
            <w:tcW w:w="6974" w:type="dxa"/>
            <w:vAlign w:val="center"/>
          </w:tcPr>
          <w:p w14:paraId="12645630" w14:textId="77777777" w:rsidR="00873EB1" w:rsidRPr="00F3706B" w:rsidRDefault="00873EB1" w:rsidP="00B2432E">
            <w:pPr>
              <w:pStyle w:val="TableText"/>
            </w:pPr>
            <w:r w:rsidRPr="00F3706B">
              <w:t>This sample AVP contains does not contain sensitive user information and IPX providers have a need to modify this AVP. The AVP falls in the category “Integrity Protected Modifiable”</w:t>
            </w:r>
          </w:p>
        </w:tc>
      </w:tr>
      <w:tr w:rsidR="00873EB1" w:rsidRPr="00F3706B" w14:paraId="53E5F3BD" w14:textId="77777777" w:rsidTr="00B2432E">
        <w:tc>
          <w:tcPr>
            <w:tcW w:w="2098" w:type="dxa"/>
            <w:shd w:val="clear" w:color="auto" w:fill="00B0F0"/>
            <w:vAlign w:val="center"/>
          </w:tcPr>
          <w:p w14:paraId="15D4822C" w14:textId="77777777" w:rsidR="00873EB1" w:rsidRPr="00F3706B" w:rsidRDefault="00873EB1" w:rsidP="00B2432E">
            <w:pPr>
              <w:pStyle w:val="TableText"/>
              <w:rPr>
                <w:b/>
                <w:color w:val="FFFFFF" w:themeColor="background1"/>
              </w:rPr>
            </w:pPr>
            <w:r w:rsidRPr="00F3706B">
              <w:rPr>
                <w:b/>
                <w:color w:val="FFFFFF" w:themeColor="background1"/>
              </w:rPr>
              <w:t>282 Route-Record</w:t>
            </w:r>
          </w:p>
        </w:tc>
        <w:tc>
          <w:tcPr>
            <w:tcW w:w="6974" w:type="dxa"/>
            <w:shd w:val="clear" w:color="auto" w:fill="00B0F0"/>
            <w:vAlign w:val="center"/>
          </w:tcPr>
          <w:p w14:paraId="14928430" w14:textId="77777777" w:rsidR="00873EB1" w:rsidRPr="00F3706B" w:rsidRDefault="00873EB1" w:rsidP="00B2432E">
            <w:pPr>
              <w:pStyle w:val="TableText"/>
              <w:rPr>
                <w:color w:val="FFFFFF" w:themeColor="background1"/>
              </w:rPr>
            </w:pPr>
            <w:r w:rsidRPr="00F3706B">
              <w:rPr>
                <w:color w:val="FFFFFF" w:themeColor="background1"/>
              </w:rPr>
              <w:t>The AVP Route-Record contains information about hops. Confidentiality protection is not appropriate since this AVP is used for routing in the Diameter base protocol. For the same reason integrity protection does not make sense, the amount route record AVPs change hop by hop resulting in every hop singing for changes which would drastically impact the performance. Hence the AVP falls in the category “Not Protected”</w:t>
            </w:r>
          </w:p>
        </w:tc>
      </w:tr>
    </w:tbl>
    <w:p w14:paraId="37C46C62" w14:textId="77777777" w:rsidR="00873EB1" w:rsidRPr="00F3706B" w:rsidRDefault="00873EB1" w:rsidP="00873EB1">
      <w:pPr>
        <w:pStyle w:val="TableCaption"/>
      </w:pPr>
      <w:r w:rsidRPr="00F3706B">
        <w:t xml:space="preserve"> </w:t>
      </w:r>
      <w:bookmarkStart w:id="40" w:name="_Ref2684890"/>
      <w:r w:rsidRPr="00F3706B">
        <w:t>– AVP Example Categorisation</w:t>
      </w:r>
      <w:bookmarkEnd w:id="40"/>
      <w:r w:rsidRPr="00F3706B">
        <w:t xml:space="preserve"> for LTE</w:t>
      </w:r>
    </w:p>
    <w:p w14:paraId="057EB376" w14:textId="77777777" w:rsidR="00873EB1" w:rsidRPr="00F3706B" w:rsidRDefault="00873EB1" w:rsidP="00873EB1">
      <w:pPr>
        <w:pStyle w:val="NormalParagraph"/>
        <w:rPr>
          <w:lang w:eastAsia="de-DE"/>
        </w:rPr>
      </w:pPr>
      <w:r w:rsidRPr="00F3706B">
        <w:rPr>
          <w:lang w:eastAsia="de-DE"/>
        </w:rPr>
        <w:t>The details of this AVP Categorisation with</w:t>
      </w:r>
      <w:r w:rsidRPr="00F3706B">
        <w:rPr>
          <w:lang w:eastAsia="en-US" w:bidi="bn-BD"/>
        </w:rPr>
        <w:t xml:space="preserve"> the classification of confidentiality and integrity protection of AVPs, the protection values are included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68B770C2" w14:textId="77777777" w:rsidR="00873EB1" w:rsidRPr="00F3706B" w:rsidRDefault="00873EB1" w:rsidP="00873EB1">
      <w:pPr>
        <w:pStyle w:val="ANNEX-heading2"/>
      </w:pPr>
      <w:bookmarkStart w:id="41" w:name="_Toc524553343"/>
      <w:bookmarkStart w:id="42" w:name="_Toc3993098"/>
      <w:r w:rsidRPr="00F3706B">
        <w:t>Where to protect</w:t>
      </w:r>
      <w:bookmarkEnd w:id="30"/>
      <w:bookmarkEnd w:id="41"/>
      <w:bookmarkEnd w:id="42"/>
    </w:p>
    <w:p w14:paraId="606DB9D6" w14:textId="77777777" w:rsidR="00873EB1" w:rsidRPr="00F3706B" w:rsidRDefault="00873EB1" w:rsidP="00873EB1">
      <w:pPr>
        <w:pStyle w:val="NormalParagraph"/>
        <w:rPr>
          <w:lang w:eastAsia="en-US" w:bidi="bn-BD"/>
        </w:rPr>
      </w:pPr>
      <w:r w:rsidRPr="00F3706B">
        <w:rPr>
          <w:lang w:eastAsia="en-US" w:bidi="bn-BD"/>
        </w:rPr>
        <w:t xml:space="preserve">The most logical place to protect confidentiality and integrity is at the edge of the network of the service provider. </w:t>
      </w:r>
    </w:p>
    <w:p w14:paraId="6C7F2E24" w14:textId="77777777" w:rsidR="00873EB1" w:rsidRPr="00F3706B" w:rsidRDefault="00873EB1" w:rsidP="00873EB1">
      <w:pPr>
        <w:pStyle w:val="NormalParagraph"/>
        <w:rPr>
          <w:lang w:eastAsia="en-US" w:bidi="bn-BD"/>
        </w:rPr>
      </w:pPr>
      <w:r w:rsidRPr="00F3706B">
        <w:rPr>
          <w:lang w:eastAsia="en-US" w:bidi="bn-BD"/>
        </w:rPr>
        <w:t>It is important to limit the impact to a single network element; the most likely candidate is the DEA. Another good reason for implementing Diameter security at the DEA is that some MNOs implement topology hiding in their DEA. In doing this, the Origin-Host AVP is usually modified, and this may affect the result of an integrity check. A Diameter firewall is another element that could fulfil the function described in this document.</w:t>
      </w:r>
    </w:p>
    <w:p w14:paraId="661A0E64" w14:textId="77777777" w:rsidR="00873EB1" w:rsidRPr="00F3706B" w:rsidRDefault="00873EB1" w:rsidP="00873EB1">
      <w:pPr>
        <w:pStyle w:val="ANNEX-heading2"/>
      </w:pPr>
      <w:bookmarkStart w:id="43" w:name="_Toc506554939"/>
      <w:bookmarkStart w:id="44" w:name="_Ref521062137"/>
      <w:bookmarkStart w:id="45" w:name="_Toc524553344"/>
      <w:bookmarkStart w:id="46" w:name="_Ref536782322"/>
      <w:bookmarkStart w:id="47" w:name="_Ref536784378"/>
      <w:bookmarkStart w:id="48" w:name="_Toc3993099"/>
      <w:r w:rsidRPr="00F3706B">
        <w:t>Secure perimeter</w:t>
      </w:r>
      <w:bookmarkEnd w:id="43"/>
      <w:bookmarkEnd w:id="44"/>
      <w:bookmarkEnd w:id="45"/>
      <w:bookmarkEnd w:id="46"/>
      <w:bookmarkEnd w:id="47"/>
      <w:bookmarkEnd w:id="48"/>
    </w:p>
    <w:p w14:paraId="10A70126" w14:textId="77777777" w:rsidR="00873EB1" w:rsidRPr="00F3706B" w:rsidRDefault="00873EB1" w:rsidP="00873EB1">
      <w:pPr>
        <w:pStyle w:val="NormalParagraph"/>
        <w:rPr>
          <w:lang w:eastAsia="en-US" w:bidi="bn-BD"/>
        </w:rPr>
      </w:pPr>
      <w:r w:rsidRPr="00F3706B">
        <w:rPr>
          <w:lang w:eastAsia="en-US" w:bidi="bn-BD"/>
        </w:rPr>
        <w:t>The secure perimeter reaches from the edge of the sending entity to the edge of the receiving entity. In other words, the sending entity, usually a service provider, will apply integrity and confidentiality protection of AVPs for a receiving identity based on the edge of its network. The receiving entity, usually a service provider, judges the integrity of the integrity-protected AVPs and decrypts the encrypted.</w:t>
      </w:r>
    </w:p>
    <w:p w14:paraId="71E3DB14" w14:textId="77777777" w:rsidR="00873EB1" w:rsidRPr="00F3706B" w:rsidRDefault="00873EB1" w:rsidP="00873EB1">
      <w:pPr>
        <w:pStyle w:val="NormalParagraph"/>
        <w:rPr>
          <w:lang w:eastAsia="en-US" w:bidi="bn-BD"/>
        </w:rPr>
      </w:pPr>
      <w:r w:rsidRPr="00F3706B">
        <w:rPr>
          <w:lang w:eastAsia="en-US" w:bidi="bn-BD"/>
        </w:rPr>
        <w:t xml:space="preserve">The ‘rule of thumb’ in section </w:t>
      </w:r>
      <w:r w:rsidRPr="00F3706B">
        <w:rPr>
          <w:lang w:eastAsia="en-US" w:bidi="bn-BD"/>
        </w:rPr>
        <w:fldChar w:fldCharType="begin"/>
      </w:r>
      <w:r w:rsidRPr="00F3706B">
        <w:rPr>
          <w:lang w:eastAsia="en-US" w:bidi="bn-BD"/>
        </w:rPr>
        <w:instrText xml:space="preserve"> REF _Ref2685277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and the corresponding classification of AVPs as in the Diameter Risk Classification matrix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describe the rules to be applied for each AVP within the secure perimeter. </w:t>
      </w:r>
    </w:p>
    <w:p w14:paraId="4D588B05" w14:textId="77777777" w:rsidR="00873EB1" w:rsidRPr="00F3706B" w:rsidRDefault="00873EB1" w:rsidP="00873EB1">
      <w:pPr>
        <w:pStyle w:val="NormalParagraph"/>
        <w:rPr>
          <w:lang w:eastAsia="en-US" w:bidi="bn-BD"/>
        </w:rPr>
      </w:pPr>
      <w:r w:rsidRPr="00F3706B">
        <w:rPr>
          <w:lang w:eastAsia="en-US" w:bidi="bn-BD"/>
        </w:rPr>
        <w:t>To cover the IPX provider requirements a number of different implementations of the secure perimeter will coexist:</w:t>
      </w:r>
    </w:p>
    <w:p w14:paraId="58DA294A" w14:textId="77777777" w:rsidR="00873EB1" w:rsidRPr="00F3706B" w:rsidRDefault="00873EB1" w:rsidP="008706AD">
      <w:pPr>
        <w:pStyle w:val="NormalParagraph"/>
        <w:numPr>
          <w:ilvl w:val="0"/>
          <w:numId w:val="26"/>
        </w:numPr>
        <w:rPr>
          <w:lang w:eastAsia="en-US" w:bidi="bn-BD"/>
        </w:rPr>
      </w:pPr>
      <w:r w:rsidRPr="00F3706B">
        <w:t xml:space="preserve">Default secure perimeter as described in section </w:t>
      </w:r>
      <w:r w:rsidRPr="00F3706B">
        <w:fldChar w:fldCharType="begin"/>
      </w:r>
      <w:r w:rsidRPr="00F3706B">
        <w:instrText xml:space="preserve"> REF _Ref2685490 \r \h </w:instrText>
      </w:r>
      <w:r w:rsidRPr="00F3706B">
        <w:fldChar w:fldCharType="separate"/>
      </w:r>
      <w:r w:rsidRPr="00F3706B">
        <w:t>D.3.3.1</w:t>
      </w:r>
      <w:r w:rsidRPr="00F3706B">
        <w:fldChar w:fldCharType="end"/>
      </w:r>
    </w:p>
    <w:p w14:paraId="446ED9FE" w14:textId="77777777" w:rsidR="00873EB1" w:rsidRPr="00F3706B" w:rsidRDefault="00873EB1" w:rsidP="008706AD">
      <w:pPr>
        <w:pStyle w:val="NormalParagraph"/>
        <w:numPr>
          <w:ilvl w:val="0"/>
          <w:numId w:val="26"/>
        </w:numPr>
        <w:rPr>
          <w:lang w:eastAsia="en-US" w:bidi="bn-BD"/>
        </w:rPr>
      </w:pPr>
      <w:r w:rsidRPr="00F3706B">
        <w:rPr>
          <w:lang w:eastAsia="en-US" w:bidi="bn-BD"/>
        </w:rPr>
        <w:t xml:space="preserve">Secure perimeter when operator delegates the security function to an IPX provider as described in section </w:t>
      </w:r>
      <w:r w:rsidRPr="00F3706B">
        <w:rPr>
          <w:lang w:eastAsia="en-US" w:bidi="bn-BD"/>
        </w:rPr>
        <w:fldChar w:fldCharType="begin"/>
      </w:r>
      <w:r w:rsidRPr="00F3706B">
        <w:rPr>
          <w:lang w:eastAsia="en-US" w:bidi="bn-BD"/>
        </w:rPr>
        <w:instrText xml:space="preserve"> REF _Ref2685498 \r \h </w:instrText>
      </w:r>
      <w:r w:rsidRPr="00F3706B">
        <w:rPr>
          <w:lang w:eastAsia="en-US" w:bidi="bn-BD"/>
        </w:rPr>
      </w:r>
      <w:r w:rsidRPr="00F3706B">
        <w:rPr>
          <w:lang w:eastAsia="en-US" w:bidi="bn-BD"/>
        </w:rPr>
        <w:fldChar w:fldCharType="separate"/>
      </w:r>
      <w:r w:rsidRPr="00F3706B">
        <w:rPr>
          <w:lang w:eastAsia="en-US" w:bidi="bn-BD"/>
        </w:rPr>
        <w:t>D.3.3.2</w:t>
      </w:r>
      <w:r w:rsidRPr="00F3706B">
        <w:rPr>
          <w:lang w:eastAsia="en-US" w:bidi="bn-BD"/>
        </w:rPr>
        <w:fldChar w:fldCharType="end"/>
      </w:r>
    </w:p>
    <w:p w14:paraId="6BADC481" w14:textId="43931A3E" w:rsidR="00873EB1" w:rsidRPr="00F3706B" w:rsidRDefault="00873EB1" w:rsidP="008706AD">
      <w:pPr>
        <w:pStyle w:val="NormalParagraph"/>
        <w:numPr>
          <w:ilvl w:val="0"/>
          <w:numId w:val="26"/>
        </w:numPr>
        <w:rPr>
          <w:lang w:eastAsia="en-US" w:bidi="bn-BD"/>
        </w:rPr>
      </w:pPr>
      <w:r w:rsidRPr="00F3706B">
        <w:rPr>
          <w:lang w:eastAsia="en-US" w:bidi="bn-BD"/>
        </w:rPr>
        <w:t>Secure perimeter in case of roaming/</w:t>
      </w:r>
      <w:r w:rsidR="00F3706B">
        <w:rPr>
          <w:lang w:eastAsia="en-US" w:bidi="bn-BD"/>
        </w:rPr>
        <w:t>SMS</w:t>
      </w:r>
      <w:r w:rsidR="00F3706B" w:rsidRPr="00F3706B">
        <w:rPr>
          <w:lang w:eastAsia="en-US" w:bidi="bn-BD"/>
        </w:rPr>
        <w:t xml:space="preserve"> </w:t>
      </w:r>
      <w:r w:rsidRPr="00F3706B">
        <w:rPr>
          <w:lang w:eastAsia="en-US" w:bidi="bn-BD"/>
        </w:rPr>
        <w:t xml:space="preserve">hubbing as described in section </w:t>
      </w:r>
      <w:r w:rsidRPr="00F3706B">
        <w:rPr>
          <w:lang w:eastAsia="en-US" w:bidi="bn-BD"/>
        </w:rPr>
        <w:fldChar w:fldCharType="begin"/>
      </w:r>
      <w:r w:rsidRPr="00F3706B">
        <w:rPr>
          <w:lang w:eastAsia="en-US" w:bidi="bn-BD"/>
        </w:rPr>
        <w:instrText xml:space="preserve"> REF _Ref2685472 \r \h </w:instrText>
      </w:r>
      <w:r w:rsidRPr="00F3706B">
        <w:rPr>
          <w:lang w:eastAsia="en-US" w:bidi="bn-BD"/>
        </w:rPr>
      </w:r>
      <w:r w:rsidRPr="00F3706B">
        <w:rPr>
          <w:lang w:eastAsia="en-US" w:bidi="bn-BD"/>
        </w:rPr>
        <w:fldChar w:fldCharType="separate"/>
      </w:r>
      <w:r w:rsidRPr="00F3706B">
        <w:rPr>
          <w:lang w:eastAsia="en-US" w:bidi="bn-BD"/>
        </w:rPr>
        <w:t>D.3.3.3</w:t>
      </w:r>
      <w:r w:rsidRPr="00F3706B">
        <w:rPr>
          <w:lang w:eastAsia="en-US" w:bidi="bn-BD"/>
        </w:rPr>
        <w:fldChar w:fldCharType="end"/>
      </w:r>
    </w:p>
    <w:p w14:paraId="045883E6" w14:textId="77777777" w:rsidR="00873EB1" w:rsidRPr="008706AD" w:rsidRDefault="00873EB1" w:rsidP="00873EB1">
      <w:pPr>
        <w:pStyle w:val="ANNEX-heading3"/>
        <w:rPr>
          <w:lang w:val="en-GB"/>
        </w:rPr>
      </w:pPr>
      <w:bookmarkStart w:id="49" w:name="_Ref2685490"/>
      <w:r w:rsidRPr="008706AD">
        <w:rPr>
          <w:lang w:val="en-GB"/>
        </w:rPr>
        <w:t>Default secure perimeter</w:t>
      </w:r>
      <w:bookmarkEnd w:id="49"/>
    </w:p>
    <w:p w14:paraId="52C8CBEC" w14:textId="77777777" w:rsidR="00873EB1" w:rsidRPr="00F3706B" w:rsidRDefault="00873EB1" w:rsidP="00873EB1">
      <w:pPr>
        <w:pStyle w:val="NormalParagraph"/>
        <w:rPr>
          <w:lang w:eastAsia="en-US" w:bidi="bn-BD"/>
        </w:rPr>
      </w:pPr>
      <w:r w:rsidRPr="00F3706B">
        <w:rPr>
          <w:lang w:eastAsia="en-US" w:bidi="bn-BD"/>
        </w:rPr>
        <w:t xml:space="preserve">The default secure perimeter reaches from the edge of the network of the sending provider to the edge of the network of the receiving operator. The security measures required for end-to-end security will apply after topology hiding, if required. The secure perimeter is outlined in </w:t>
      </w:r>
      <w:r w:rsidRPr="00F3706B">
        <w:rPr>
          <w:lang w:eastAsia="en-US" w:bidi="bn-BD"/>
        </w:rPr>
        <w:fldChar w:fldCharType="begin"/>
      </w:r>
      <w:r w:rsidRPr="00F3706B">
        <w:rPr>
          <w:lang w:eastAsia="en-US" w:bidi="bn-BD"/>
        </w:rPr>
        <w:instrText xml:space="preserve"> REF _Ref520991738 \r \h  \* MERGEFORMAT </w:instrText>
      </w:r>
      <w:r w:rsidRPr="00F3706B">
        <w:rPr>
          <w:lang w:eastAsia="en-US" w:bidi="bn-BD"/>
        </w:rPr>
      </w:r>
      <w:r w:rsidRPr="00F3706B">
        <w:rPr>
          <w:lang w:eastAsia="en-US" w:bidi="bn-BD"/>
        </w:rPr>
        <w:fldChar w:fldCharType="separate"/>
      </w:r>
      <w:r w:rsidRPr="00F3706B">
        <w:rPr>
          <w:lang w:eastAsia="en-US" w:bidi="bn-BD"/>
        </w:rPr>
        <w:t>Figure 36</w:t>
      </w:r>
      <w:r w:rsidRPr="00F3706B">
        <w:rPr>
          <w:lang w:eastAsia="en-US" w:bidi="bn-BD"/>
        </w:rPr>
        <w:fldChar w:fldCharType="end"/>
      </w:r>
      <w:r w:rsidRPr="00F3706B">
        <w:rPr>
          <w:lang w:eastAsia="en-US" w:bidi="bn-BD"/>
        </w:rPr>
        <w:t xml:space="preserve"> below:</w:t>
      </w:r>
    </w:p>
    <w:p w14:paraId="7C43ED81" w14:textId="77777777" w:rsidR="00873EB1" w:rsidRPr="00F3706B" w:rsidRDefault="00873EB1" w:rsidP="00873EB1">
      <w:pPr>
        <w:pStyle w:val="NormalParagraph"/>
        <w:rPr>
          <w:lang w:eastAsia="en-US" w:bidi="bn-BD"/>
        </w:rPr>
      </w:pPr>
      <w:r w:rsidRPr="00F3706B">
        <w:rPr>
          <w:noProof/>
        </w:rPr>
        <w:drawing>
          <wp:inline distT="0" distB="0" distL="0" distR="0" wp14:anchorId="21B719AA" wp14:editId="0860489B">
            <wp:extent cx="5731510" cy="2004695"/>
            <wp:effectExtent l="0" t="0" r="2540" b="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2004695"/>
                    </a:xfrm>
                    <a:prstGeom prst="rect">
                      <a:avLst/>
                    </a:prstGeom>
                    <a:noFill/>
                    <a:ln>
                      <a:noFill/>
                    </a:ln>
                  </pic:spPr>
                </pic:pic>
              </a:graphicData>
            </a:graphic>
          </wp:inline>
        </w:drawing>
      </w:r>
    </w:p>
    <w:p w14:paraId="54FB66B9" w14:textId="77777777" w:rsidR="00873EB1" w:rsidRPr="008706AD" w:rsidRDefault="00873EB1" w:rsidP="00873EB1">
      <w:pPr>
        <w:pStyle w:val="Figurecaption"/>
        <w:rPr>
          <w:lang w:val="en-GB"/>
        </w:rPr>
      </w:pPr>
      <w:bookmarkStart w:id="50" w:name="_Ref497924639"/>
      <w:r w:rsidRPr="008706AD">
        <w:rPr>
          <w:lang w:val="en-GB"/>
        </w:rPr>
        <w:t xml:space="preserve"> </w:t>
      </w:r>
      <w:bookmarkStart w:id="51" w:name="_Ref520991738"/>
      <w:r w:rsidRPr="008706AD">
        <w:rPr>
          <w:lang w:val="en-GB"/>
        </w:rPr>
        <w:t>– Default secure perimeter</w:t>
      </w:r>
      <w:bookmarkEnd w:id="50"/>
      <w:bookmarkEnd w:id="51"/>
      <w:r w:rsidRPr="008706AD">
        <w:rPr>
          <w:lang w:val="en-GB"/>
        </w:rPr>
        <w:t xml:space="preserve"> </w:t>
      </w:r>
    </w:p>
    <w:p w14:paraId="4BA0A099" w14:textId="77777777" w:rsidR="00873EB1" w:rsidRPr="00F3706B" w:rsidRDefault="00873EB1" w:rsidP="00873EB1">
      <w:pPr>
        <w:pStyle w:val="NormalParagraph"/>
      </w:pPr>
      <w:r w:rsidRPr="00F3706B">
        <w:t>The sending service providers’ DEA/firewall applies encryption measures as per AVP protection scheme towards the receiving service provider and signs the entire Diameter payload, except the Route-Record AVP. The receiving service providers’ DEA/firewall verifies the integrity and decrypts the encrypted AVPs, removes security related material and passes the Diameter message towards the intended network element. Both the sending and receiving operator use the Origin-Realm and Destination-Realm to apply the correct keys.</w:t>
      </w:r>
    </w:p>
    <w:p w14:paraId="6C3DDBCE" w14:textId="77777777" w:rsidR="00873EB1" w:rsidRPr="00F3706B" w:rsidRDefault="00873EB1" w:rsidP="00873EB1">
      <w:pPr>
        <w:pStyle w:val="NormalParagraph"/>
      </w:pPr>
      <w:r w:rsidRPr="00F3706B">
        <w:t xml:space="preserve">In case of an IPX provider, needs (and also if this is allowed) to apply changes to Diameter messages, the scheme in </w:t>
      </w:r>
      <w:r w:rsidRPr="00F3706B">
        <w:fldChar w:fldCharType="begin"/>
      </w:r>
      <w:r w:rsidRPr="00F3706B">
        <w:instrText xml:space="preserve"> REF _Ref536808954 \r \h  \* MERGEFORMAT </w:instrText>
      </w:r>
      <w:r w:rsidRPr="00F3706B">
        <w:fldChar w:fldCharType="separate"/>
      </w:r>
      <w:r w:rsidRPr="00F3706B">
        <w:t>Figure 37</w:t>
      </w:r>
      <w:r w:rsidRPr="00F3706B">
        <w:fldChar w:fldCharType="end"/>
      </w:r>
      <w:r w:rsidRPr="00F3706B">
        <w:t xml:space="preserve"> applies: </w:t>
      </w:r>
    </w:p>
    <w:p w14:paraId="1C265FF4" w14:textId="77777777" w:rsidR="00873EB1" w:rsidRPr="00F3706B" w:rsidRDefault="00873EB1" w:rsidP="00873EB1">
      <w:pPr>
        <w:jc w:val="left"/>
      </w:pPr>
    </w:p>
    <w:p w14:paraId="073BDFB2" w14:textId="77777777" w:rsidR="00873EB1" w:rsidRPr="00F3706B" w:rsidRDefault="00873EB1" w:rsidP="00D027F4">
      <w:pPr>
        <w:jc w:val="center"/>
      </w:pPr>
      <w:r w:rsidRPr="00F3706B">
        <w:rPr>
          <w:noProof/>
          <w:lang w:eastAsia="en-GB" w:bidi="ar-SA"/>
        </w:rPr>
        <w:drawing>
          <wp:inline distT="0" distB="0" distL="0" distR="0" wp14:anchorId="70CE1E79" wp14:editId="63D64DA4">
            <wp:extent cx="5533825" cy="2402732"/>
            <wp:effectExtent l="0" t="0" r="381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6864" cy="2404051"/>
                    </a:xfrm>
                    <a:prstGeom prst="rect">
                      <a:avLst/>
                    </a:prstGeom>
                    <a:noFill/>
                    <a:ln>
                      <a:noFill/>
                    </a:ln>
                  </pic:spPr>
                </pic:pic>
              </a:graphicData>
            </a:graphic>
          </wp:inline>
        </w:drawing>
      </w:r>
    </w:p>
    <w:p w14:paraId="1F017127" w14:textId="77777777" w:rsidR="00873EB1" w:rsidRPr="008706AD" w:rsidRDefault="00873EB1" w:rsidP="00873EB1">
      <w:pPr>
        <w:pStyle w:val="Figurecaption"/>
        <w:rPr>
          <w:lang w:val="en-GB" w:eastAsia="en-US"/>
        </w:rPr>
      </w:pPr>
      <w:bookmarkStart w:id="52" w:name="_Ref536808954"/>
      <w:r w:rsidRPr="008706AD">
        <w:rPr>
          <w:lang w:val="en-GB"/>
        </w:rPr>
        <w:t>– Secure perimeter in case of intermediate AVP modifications.</w:t>
      </w:r>
      <w:bookmarkEnd w:id="52"/>
    </w:p>
    <w:p w14:paraId="155EB592" w14:textId="77777777" w:rsidR="00873EB1" w:rsidRPr="00F3706B" w:rsidRDefault="00873EB1" w:rsidP="00873EB1">
      <w:pPr>
        <w:pStyle w:val="NormalParagraph"/>
      </w:pPr>
      <w:r w:rsidRPr="00F3706B">
        <w:t>In case an IPX provider needs to make changes to AVPs within the secure parameter, including additions and deletions, it is obliged to verify the original signature first. After verifying the signature, the IPX provider may apply its changes and apply a new signature (voiding the previous one) and a “signing realm AVP” (e.g. &lt;IPXprovider&gt;.IPXnetwork.org to the message. The receiving service provider verifies the signature with key of the entity in the signing realm AVP and decrypts the message based on the Origin-Realm AVP. If both IPX providers need to make changes the second IPX provider verifies the signature of the first IPX provider.</w:t>
      </w:r>
    </w:p>
    <w:p w14:paraId="6D6851B1" w14:textId="77777777" w:rsidR="00873EB1" w:rsidRPr="008706AD" w:rsidRDefault="00873EB1" w:rsidP="00873EB1">
      <w:pPr>
        <w:pStyle w:val="ANNEX-heading3"/>
        <w:rPr>
          <w:lang w:val="en-GB"/>
        </w:rPr>
      </w:pPr>
      <w:bookmarkStart w:id="53" w:name="_Toc506554940"/>
      <w:bookmarkStart w:id="54" w:name="_Ref2685498"/>
      <w:r w:rsidRPr="008706AD">
        <w:rPr>
          <w:lang w:val="en-GB"/>
        </w:rPr>
        <w:t>Secure perimeter when operator delegates security functions to the IPX Provider</w:t>
      </w:r>
      <w:bookmarkEnd w:id="53"/>
      <w:bookmarkEnd w:id="54"/>
    </w:p>
    <w:p w14:paraId="5612E138" w14:textId="77777777" w:rsidR="00873EB1" w:rsidRPr="00F3706B" w:rsidRDefault="00873EB1" w:rsidP="00873EB1">
      <w:pPr>
        <w:pStyle w:val="NormalParagraph"/>
      </w:pPr>
      <w:r w:rsidRPr="00F3706B">
        <w:rPr>
          <w:lang w:eastAsia="en-US" w:bidi="bn-BD"/>
        </w:rPr>
        <w:t xml:space="preserve">The end-to-end protection function may be delegated from the service provider to the IPX provider. </w:t>
      </w:r>
    </w:p>
    <w:p w14:paraId="2D570D2B" w14:textId="77777777" w:rsidR="00873EB1" w:rsidRPr="00F3706B" w:rsidRDefault="00873EB1" w:rsidP="00873EB1">
      <w:pPr>
        <w:pStyle w:val="NormalParagraph"/>
        <w:rPr>
          <w:lang w:eastAsia="en-US" w:bidi="bn-BD"/>
        </w:rPr>
      </w:pPr>
      <w:r w:rsidRPr="00F3706B">
        <w:rPr>
          <w:lang w:eastAsia="en-US" w:bidi="bn-BD"/>
        </w:rPr>
        <w:t xml:space="preserve">The sending or receiving service provider must in this case advertise the delegation of security functions in their IR.21 </w:t>
      </w:r>
      <w:r w:rsidRPr="00F3706B">
        <w:fldChar w:fldCharType="begin"/>
      </w:r>
      <w:r w:rsidRPr="00F3706B">
        <w:rPr>
          <w:lang w:eastAsia="en-US" w:bidi="bn-BD"/>
        </w:rPr>
        <w:instrText xml:space="preserve"> REF _Ref521079879 \r \h </w:instrText>
      </w:r>
      <w:r w:rsidRPr="00F3706B">
        <w:instrText xml:space="preserve"> \* MERGEFORMAT </w:instrText>
      </w:r>
      <w:r w:rsidRPr="00F3706B">
        <w:fldChar w:fldCharType="separate"/>
      </w:r>
      <w:r w:rsidRPr="00F3706B">
        <w:rPr>
          <w:lang w:eastAsia="en-US" w:bidi="bn-BD"/>
        </w:rPr>
        <w:t>[61]</w:t>
      </w:r>
      <w:r w:rsidRPr="00F3706B">
        <w:fldChar w:fldCharType="end"/>
      </w:r>
      <w:r w:rsidRPr="00F3706B">
        <w:t>.</w:t>
      </w:r>
    </w:p>
    <w:p w14:paraId="7FA0ECB4"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_Ref506554004 \r \h  \* MERGEFORMAT </w:instrText>
      </w:r>
      <w:r w:rsidRPr="00F3706B">
        <w:rPr>
          <w:lang w:eastAsia="en-US" w:bidi="bn-BD"/>
        </w:rPr>
      </w:r>
      <w:r w:rsidRPr="00F3706B">
        <w:rPr>
          <w:lang w:eastAsia="en-US" w:bidi="bn-BD"/>
        </w:rPr>
        <w:fldChar w:fldCharType="separate"/>
      </w:r>
      <w:r w:rsidRPr="00F3706B">
        <w:rPr>
          <w:lang w:eastAsia="en-US" w:bidi="bn-BD"/>
        </w:rPr>
        <w:t>Figure 38</w:t>
      </w:r>
      <w:r w:rsidRPr="00F3706B">
        <w:rPr>
          <w:lang w:eastAsia="en-US" w:bidi="bn-BD"/>
        </w:rPr>
        <w:fldChar w:fldCharType="end"/>
      </w:r>
      <w:r w:rsidRPr="00F3706B">
        <w:rPr>
          <w:lang w:eastAsia="en-US" w:bidi="bn-BD"/>
        </w:rPr>
        <w:t xml:space="preserve"> shows the secure perimeter if the sending service provider has delegated the Diameter end-to-end security function to its IPX provider:</w:t>
      </w:r>
    </w:p>
    <w:p w14:paraId="5BA5BD89" w14:textId="77777777" w:rsidR="00873EB1" w:rsidRPr="00F3706B" w:rsidRDefault="00873EB1" w:rsidP="00D027F4">
      <w:pPr>
        <w:pStyle w:val="NormalParagraph"/>
        <w:keepNext/>
        <w:jc w:val="center"/>
      </w:pPr>
      <w:r w:rsidRPr="00F3706B">
        <w:rPr>
          <w:noProof/>
        </w:rPr>
        <w:drawing>
          <wp:inline distT="0" distB="0" distL="0" distR="0" wp14:anchorId="33980828" wp14:editId="14978E41">
            <wp:extent cx="5570430" cy="2003898"/>
            <wp:effectExtent l="0" t="0" r="5080" b="3175"/>
            <wp:docPr id="44"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3362" cy="2008550"/>
                    </a:xfrm>
                    <a:prstGeom prst="rect">
                      <a:avLst/>
                    </a:prstGeom>
                    <a:noFill/>
                    <a:ln>
                      <a:noFill/>
                    </a:ln>
                  </pic:spPr>
                </pic:pic>
              </a:graphicData>
            </a:graphic>
          </wp:inline>
        </w:drawing>
      </w:r>
    </w:p>
    <w:p w14:paraId="00650C43" w14:textId="77777777" w:rsidR="00873EB1" w:rsidRPr="008706AD" w:rsidRDefault="00873EB1" w:rsidP="00873EB1">
      <w:pPr>
        <w:pStyle w:val="Figurecaption"/>
        <w:rPr>
          <w:lang w:val="en-GB" w:eastAsia="en-US"/>
        </w:rPr>
      </w:pPr>
      <w:r w:rsidRPr="008706AD">
        <w:rPr>
          <w:lang w:val="en-GB"/>
        </w:rPr>
        <w:t xml:space="preserve"> </w:t>
      </w:r>
      <w:bookmarkStart w:id="55" w:name="_Ref506554004"/>
      <w:r w:rsidRPr="008706AD">
        <w:rPr>
          <w:lang w:val="en-GB"/>
        </w:rPr>
        <w:t>– Secure perimeter in case of delegation of Diameter end to end security by the sender</w:t>
      </w:r>
      <w:bookmarkEnd w:id="55"/>
    </w:p>
    <w:p w14:paraId="3F941180" w14:textId="77777777" w:rsidR="00873EB1" w:rsidRPr="00F3706B" w:rsidRDefault="00873EB1" w:rsidP="00873EB1">
      <w:pPr>
        <w:pStyle w:val="NormalParagraph"/>
        <w:rPr>
          <w:lang w:eastAsia="en-US" w:bidi="bn-BD"/>
        </w:rPr>
      </w:pPr>
      <w:r w:rsidRPr="00F3706B">
        <w:rPr>
          <w:lang w:eastAsia="en-US" w:bidi="bn-BD"/>
        </w:rPr>
        <w:t>In this example service provider 1 has delegated the Diameter end-to-end security function to IPX provider 1. This means that the confidentiality and integrity protection reaches from IPX provider 1 to service provider 2 only. In this case the receiver (service provider 2) must understand that although the Origin-Realm points to service provider 1, cryptographic keys between IPX provider 1 and service provider 2 are used.</w:t>
      </w:r>
    </w:p>
    <w:p w14:paraId="2E7026F5"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_Ref506554064 \r \h  \* MERGEFORMAT </w:instrText>
      </w:r>
      <w:r w:rsidRPr="00F3706B">
        <w:rPr>
          <w:lang w:eastAsia="en-US" w:bidi="bn-BD"/>
        </w:rPr>
      </w:r>
      <w:r w:rsidRPr="00F3706B">
        <w:rPr>
          <w:lang w:eastAsia="en-US" w:bidi="bn-BD"/>
        </w:rPr>
        <w:fldChar w:fldCharType="separate"/>
      </w:r>
      <w:r w:rsidRPr="00F3706B">
        <w:rPr>
          <w:lang w:eastAsia="en-US" w:bidi="bn-BD"/>
        </w:rPr>
        <w:t>Figure 39</w:t>
      </w:r>
      <w:r w:rsidRPr="00F3706B">
        <w:rPr>
          <w:lang w:eastAsia="en-US" w:bidi="bn-BD"/>
        </w:rPr>
        <w:fldChar w:fldCharType="end"/>
      </w:r>
      <w:r w:rsidRPr="00F3706B">
        <w:rPr>
          <w:lang w:eastAsia="en-US" w:bidi="bn-BD"/>
        </w:rPr>
        <w:t xml:space="preserve"> shows the secure perimeter if the receiving service provider has delegated the security function to its IPX provider:</w:t>
      </w:r>
    </w:p>
    <w:p w14:paraId="1F93437F" w14:textId="77777777" w:rsidR="00873EB1" w:rsidRPr="00F3706B" w:rsidRDefault="00873EB1" w:rsidP="00D027F4">
      <w:pPr>
        <w:pStyle w:val="NormalParagraph"/>
        <w:jc w:val="center"/>
        <w:rPr>
          <w:lang w:eastAsia="en-US" w:bidi="bn-BD"/>
        </w:rPr>
      </w:pPr>
      <w:r w:rsidRPr="00F3706B">
        <w:rPr>
          <w:noProof/>
        </w:rPr>
        <w:drawing>
          <wp:inline distT="0" distB="0" distL="0" distR="0" wp14:anchorId="76666161" wp14:editId="004689C9">
            <wp:extent cx="5490978" cy="1984442"/>
            <wp:effectExtent l="0" t="0" r="0" b="0"/>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0058" cy="1998565"/>
                    </a:xfrm>
                    <a:prstGeom prst="rect">
                      <a:avLst/>
                    </a:prstGeom>
                    <a:noFill/>
                    <a:ln>
                      <a:noFill/>
                    </a:ln>
                  </pic:spPr>
                </pic:pic>
              </a:graphicData>
            </a:graphic>
          </wp:inline>
        </w:drawing>
      </w:r>
    </w:p>
    <w:p w14:paraId="6F912558" w14:textId="77777777" w:rsidR="00873EB1" w:rsidRPr="008706AD" w:rsidRDefault="00873EB1" w:rsidP="00873EB1">
      <w:pPr>
        <w:pStyle w:val="Figurecaption"/>
        <w:rPr>
          <w:lang w:val="en-GB" w:eastAsia="en-US"/>
        </w:rPr>
      </w:pPr>
      <w:r w:rsidRPr="008706AD">
        <w:rPr>
          <w:lang w:val="en-GB"/>
        </w:rPr>
        <w:t xml:space="preserve"> </w:t>
      </w:r>
      <w:bookmarkStart w:id="56" w:name="_Ref506554064"/>
      <w:r w:rsidRPr="008706AD">
        <w:rPr>
          <w:lang w:val="en-GB"/>
        </w:rPr>
        <w:t>– Secure perimeter in case of delegation of Diameter end-to-end security by the receiver</w:t>
      </w:r>
      <w:bookmarkEnd w:id="56"/>
    </w:p>
    <w:p w14:paraId="2E528260" w14:textId="77777777" w:rsidR="00873EB1" w:rsidRPr="00F3706B" w:rsidRDefault="00873EB1" w:rsidP="00873EB1">
      <w:pPr>
        <w:pStyle w:val="NormalParagraph"/>
        <w:rPr>
          <w:lang w:eastAsia="en-US" w:bidi="bn-BD"/>
        </w:rPr>
      </w:pPr>
      <w:r w:rsidRPr="00F3706B">
        <w:rPr>
          <w:lang w:eastAsia="en-US" w:bidi="bn-BD"/>
        </w:rPr>
        <w:t>In this case the receiving service provider has delegated the Diameter end-to-end security function to its IPX provider. Service provider 1 must be aware, when adding AVP protection that the end of the secure perimeter is IPX provider 2</w:t>
      </w:r>
      <w:r w:rsidRPr="00F3706B">
        <w:rPr>
          <w:rStyle w:val="FootnoteReference"/>
          <w:lang w:eastAsia="en-US" w:bidi="bn-BD"/>
        </w:rPr>
        <w:footnoteReference w:id="2"/>
      </w:r>
      <w:r w:rsidRPr="00F3706B">
        <w:rPr>
          <w:lang w:eastAsia="en-US" w:bidi="bn-BD"/>
        </w:rPr>
        <w:t>. Although the Destination-Realm points to service provider 2, AVPs need to be encrypted with the key of IPX 2.</w:t>
      </w:r>
    </w:p>
    <w:p w14:paraId="2E607BCF" w14:textId="10E296D7" w:rsidR="00873EB1" w:rsidRPr="008706AD" w:rsidRDefault="00873EB1" w:rsidP="00873EB1">
      <w:pPr>
        <w:pStyle w:val="ANNEX-heading3"/>
        <w:rPr>
          <w:lang w:val="en-GB"/>
        </w:rPr>
      </w:pPr>
      <w:bookmarkStart w:id="57" w:name="_Ref2685472"/>
      <w:bookmarkStart w:id="58" w:name="_Toc506554942"/>
      <w:r w:rsidRPr="008706AD">
        <w:rPr>
          <w:lang w:val="en-GB"/>
        </w:rPr>
        <w:t>Secure perimeter in case of roaming/</w:t>
      </w:r>
      <w:r w:rsidR="00F3706B">
        <w:rPr>
          <w:lang w:val="en-GB"/>
        </w:rPr>
        <w:t>SMS</w:t>
      </w:r>
      <w:r w:rsidR="00F3706B" w:rsidRPr="008706AD">
        <w:rPr>
          <w:lang w:val="en-GB"/>
        </w:rPr>
        <w:t xml:space="preserve"> </w:t>
      </w:r>
      <w:r w:rsidRPr="008706AD">
        <w:rPr>
          <w:lang w:val="en-GB"/>
        </w:rPr>
        <w:t>hubbing</w:t>
      </w:r>
      <w:bookmarkEnd w:id="57"/>
      <w:bookmarkEnd w:id="58"/>
    </w:p>
    <w:p w14:paraId="467A935C" w14:textId="77777777" w:rsidR="00873EB1" w:rsidRPr="00F3706B" w:rsidRDefault="00873EB1" w:rsidP="00873EB1">
      <w:pPr>
        <w:pStyle w:val="NormalParagraph"/>
        <w:rPr>
          <w:lang w:eastAsia="en-US" w:bidi="bn-BD"/>
        </w:rPr>
      </w:pPr>
      <w:r w:rsidRPr="00F3706B">
        <w:rPr>
          <w:lang w:eastAsia="en-US" w:bidi="bn-BD"/>
        </w:rPr>
        <w:t xml:space="preserve">In case an IPX provider is providing LTE roaming hub as described in IR.80 </w:t>
      </w:r>
      <w:r w:rsidRPr="00F3706B">
        <w:rPr>
          <w:lang w:bidi="bn-BD"/>
        </w:rPr>
        <w:fldChar w:fldCharType="begin"/>
      </w:r>
      <w:r w:rsidRPr="00F3706B">
        <w:rPr>
          <w:lang w:bidi="bn-BD"/>
        </w:rPr>
        <w:instrText xml:space="preserve"> REF _Ref521077729 \r \h  \* MERGEFORMAT </w:instrText>
      </w:r>
      <w:r w:rsidRPr="00F3706B">
        <w:rPr>
          <w:lang w:bidi="bn-BD"/>
        </w:rPr>
      </w:r>
      <w:r w:rsidRPr="00F3706B">
        <w:rPr>
          <w:lang w:bidi="bn-BD"/>
        </w:rPr>
        <w:fldChar w:fldCharType="separate"/>
      </w:r>
      <w:r w:rsidRPr="00F3706B">
        <w:rPr>
          <w:lang w:bidi="bn-BD"/>
        </w:rPr>
        <w:t>[60]</w:t>
      </w:r>
      <w:r w:rsidRPr="00F3706B">
        <w:rPr>
          <w:lang w:bidi="bn-BD"/>
        </w:rPr>
        <w:fldChar w:fldCharType="end"/>
      </w:r>
      <w:r w:rsidRPr="00F3706B">
        <w:rPr>
          <w:lang w:bidi="bn-BD"/>
        </w:rPr>
        <w:t xml:space="preserve">or a Diameter SMS hub (not yet specified in a PRD) it requires to manipulate or inspect AVPs that contain encrypted user data. In order to do so service provider 1 and service provider 2 both need to understand that there is a hub in between. Service provider 1 need to terminate the secure perimeter at the hub and from the hub a second secure perimeter will be present that terminates at service provider 2. </w:t>
      </w:r>
      <w:r w:rsidRPr="00F3706B">
        <w:t>:</w:t>
      </w:r>
    </w:p>
    <w:p w14:paraId="6773FE1F" w14:textId="77777777" w:rsidR="00873EB1" w:rsidRPr="00F3706B" w:rsidRDefault="00873EB1" w:rsidP="00D027F4">
      <w:pPr>
        <w:pStyle w:val="NormalParagraph"/>
        <w:jc w:val="center"/>
      </w:pPr>
      <w:r w:rsidRPr="00F3706B">
        <w:t xml:space="preserve">In </w:t>
      </w:r>
      <w:r w:rsidRPr="00F3706B">
        <w:fldChar w:fldCharType="begin"/>
      </w:r>
      <w:r w:rsidRPr="00F3706B">
        <w:instrText xml:space="preserve"> REF _Ref497925657 \r \h  \* MERGEFORMAT </w:instrText>
      </w:r>
      <w:r w:rsidRPr="00F3706B">
        <w:fldChar w:fldCharType="separate"/>
      </w:r>
      <w:r w:rsidRPr="00F3706B">
        <w:t>Figure 40</w:t>
      </w:r>
      <w:r w:rsidRPr="00F3706B">
        <w:fldChar w:fldCharType="end"/>
      </w:r>
      <w:r w:rsidRPr="00F3706B">
        <w:t xml:space="preserve">  is this scenario outlined:  </w:t>
      </w:r>
      <w:r w:rsidRPr="00F3706B">
        <w:rPr>
          <w:noProof/>
        </w:rPr>
        <w:drawing>
          <wp:inline distT="0" distB="0" distL="0" distR="0" wp14:anchorId="71BC3987" wp14:editId="6A36B1B8">
            <wp:extent cx="5215221" cy="1909051"/>
            <wp:effectExtent l="0" t="0" r="5080" b="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9781" cy="1914381"/>
                    </a:xfrm>
                    <a:prstGeom prst="rect">
                      <a:avLst/>
                    </a:prstGeom>
                    <a:noFill/>
                    <a:ln>
                      <a:noFill/>
                    </a:ln>
                  </pic:spPr>
                </pic:pic>
              </a:graphicData>
            </a:graphic>
          </wp:inline>
        </w:drawing>
      </w:r>
    </w:p>
    <w:p w14:paraId="67E8D2F6" w14:textId="77777777" w:rsidR="00873EB1" w:rsidRPr="008706AD" w:rsidRDefault="00873EB1" w:rsidP="00873EB1">
      <w:pPr>
        <w:pStyle w:val="Figurecaption"/>
        <w:rPr>
          <w:lang w:val="en-GB"/>
        </w:rPr>
      </w:pPr>
      <w:r w:rsidRPr="008706AD">
        <w:rPr>
          <w:lang w:val="en-GB"/>
        </w:rPr>
        <w:t xml:space="preserve"> </w:t>
      </w:r>
      <w:bookmarkStart w:id="59" w:name="_Ref497925657"/>
      <w:r w:rsidRPr="008706AD">
        <w:rPr>
          <w:lang w:val="en-GB"/>
        </w:rPr>
        <w:t>– Secure perimeter in case of roaming or SMS hubbing</w:t>
      </w:r>
      <w:bookmarkEnd w:id="59"/>
    </w:p>
    <w:p w14:paraId="69F21031" w14:textId="77777777" w:rsidR="00873EB1" w:rsidRPr="00F3706B" w:rsidRDefault="00873EB1" w:rsidP="00873EB1">
      <w:pPr>
        <w:pStyle w:val="NormalParagraph"/>
        <w:rPr>
          <w:lang w:eastAsia="en-US" w:bidi="bn-BD"/>
        </w:rPr>
      </w:pPr>
      <w:r w:rsidRPr="00F3706B">
        <w:t xml:space="preserve">If </w:t>
      </w:r>
      <w:r w:rsidRPr="00F3706B">
        <w:rPr>
          <w:lang w:eastAsia="en-US" w:bidi="bn-BD"/>
        </w:rPr>
        <w:t xml:space="preserve">service provider 1 determines that there is a hub scenario for this particular call flow (for instance based on IMSI or MSISDN) the sending service providers’ DEA/firewall applies encryption measures as per AVP protection scheme towards the hub and signs the entire Diameter payload, except the Route-Record AVP. The hubs’ DEA/firewall verifies the integrity and decrypts the encrypted AVPs, removes security related material and applies the hub related changes. </w:t>
      </w:r>
    </w:p>
    <w:p w14:paraId="06640610" w14:textId="77777777" w:rsidR="00873EB1" w:rsidRPr="00F3706B" w:rsidRDefault="00873EB1" w:rsidP="00873EB1">
      <w:pPr>
        <w:pStyle w:val="NormalParagraph"/>
        <w:rPr>
          <w:lang w:eastAsia="en-US" w:bidi="bn-BD"/>
        </w:rPr>
      </w:pPr>
      <w:r w:rsidRPr="00F3706B">
        <w:rPr>
          <w:lang w:eastAsia="en-US" w:bidi="bn-BD"/>
        </w:rPr>
        <w:t>Hereafter, the hubs’ DEA/firewall applies encryption measures as per AVP protection scheme towards service provider 2 and signs the entire Diameter payload, except the Route-Record AVP. The receiving service providers’ DEA/firewall verifies the integrity and decrypts the encrypted AVPs, removes security related material and passes the Diameter message towards the intended network element.</w:t>
      </w:r>
    </w:p>
    <w:p w14:paraId="46495A9F" w14:textId="77777777" w:rsidR="00873EB1" w:rsidRPr="00F3706B" w:rsidRDefault="00873EB1" w:rsidP="00873EB1">
      <w:pPr>
        <w:pStyle w:val="NormalParagraph"/>
        <w:rPr>
          <w:lang w:eastAsia="en-US" w:bidi="bn-BD"/>
        </w:rPr>
      </w:pPr>
      <w:r w:rsidRPr="00F3706B">
        <w:rPr>
          <w:lang w:eastAsia="en-US" w:bidi="bn-BD"/>
        </w:rPr>
        <w:t xml:space="preserve">IR.80 </w:t>
      </w:r>
      <w:r w:rsidRPr="00F3706B">
        <w:rPr>
          <w:lang w:eastAsia="en-US" w:bidi="bn-BD"/>
        </w:rPr>
        <w:fldChar w:fldCharType="begin"/>
      </w:r>
      <w:r w:rsidRPr="00F3706B">
        <w:rPr>
          <w:lang w:eastAsia="en-US" w:bidi="bn-BD"/>
        </w:rPr>
        <w:instrText xml:space="preserve"> REF _Ref521077729 \r \h  \* MERGEFORMAT </w:instrText>
      </w:r>
      <w:r w:rsidRPr="00F3706B">
        <w:rPr>
          <w:lang w:eastAsia="en-US" w:bidi="bn-BD"/>
        </w:rPr>
      </w:r>
      <w:r w:rsidRPr="00F3706B">
        <w:rPr>
          <w:lang w:eastAsia="en-US" w:bidi="bn-BD"/>
        </w:rPr>
        <w:fldChar w:fldCharType="separate"/>
      </w:r>
      <w:r w:rsidRPr="00F3706B">
        <w:rPr>
          <w:lang w:eastAsia="en-US" w:bidi="bn-BD"/>
        </w:rPr>
        <w:t>[60]</w:t>
      </w:r>
      <w:r w:rsidRPr="00F3706B">
        <w:rPr>
          <w:lang w:eastAsia="en-US" w:bidi="bn-BD"/>
        </w:rPr>
        <w:fldChar w:fldCharType="end"/>
      </w:r>
      <w:r w:rsidRPr="00F3706B">
        <w:rPr>
          <w:lang w:eastAsia="en-US" w:bidi="bn-BD"/>
        </w:rPr>
        <w:t xml:space="preserve"> suggests a number of ways to provide routing towards and from the hub based on manipulating Origin-Realm and Destination-Realm. The correct keys should be derived from there.</w:t>
      </w:r>
    </w:p>
    <w:p w14:paraId="07265231" w14:textId="77777777" w:rsidR="00873EB1" w:rsidRPr="00F3706B" w:rsidRDefault="00873EB1" w:rsidP="00873EB1">
      <w:pPr>
        <w:pStyle w:val="ANNEX-heading2"/>
      </w:pPr>
      <w:bookmarkStart w:id="60" w:name="_Ref521596206"/>
      <w:bookmarkStart w:id="61" w:name="_Toc524553345"/>
      <w:bookmarkStart w:id="62" w:name="_Toc3993100"/>
      <w:bookmarkStart w:id="63" w:name="_Toc506554943"/>
      <w:r w:rsidRPr="00F3706B">
        <w:t>How to Protect</w:t>
      </w:r>
      <w:bookmarkEnd w:id="60"/>
      <w:bookmarkEnd w:id="61"/>
      <w:bookmarkEnd w:id="62"/>
    </w:p>
    <w:bookmarkEnd w:id="63"/>
    <w:p w14:paraId="642BDFC4" w14:textId="77777777" w:rsidR="00873EB1" w:rsidRPr="00F3706B" w:rsidRDefault="00873EB1" w:rsidP="00873EB1">
      <w:pPr>
        <w:pStyle w:val="NormalParagraph"/>
        <w:rPr>
          <w:lang w:eastAsia="zh-CN" w:bidi="bn-BD"/>
        </w:rPr>
      </w:pPr>
      <w:r w:rsidRPr="00F3706B">
        <w:rPr>
          <w:lang w:eastAsia="zh-CN" w:bidi="bn-BD"/>
        </w:rPr>
        <w:t xml:space="preserve">This section specifies the implementation details of the AVP protection scheme for LTE as  outlined in sections </w:t>
      </w:r>
      <w:r w:rsidRPr="00F3706B">
        <w:rPr>
          <w:lang w:eastAsia="zh-CN" w:bidi="bn-BD"/>
        </w:rPr>
        <w:fldChar w:fldCharType="begin"/>
      </w:r>
      <w:r w:rsidRPr="00F3706B">
        <w:rPr>
          <w:lang w:eastAsia="zh-CN" w:bidi="bn-BD"/>
        </w:rPr>
        <w:instrText xml:space="preserve"> REF _Ref2958489 \r \h </w:instrText>
      </w:r>
      <w:r w:rsidRPr="00F3706B">
        <w:rPr>
          <w:lang w:eastAsia="zh-CN" w:bidi="bn-BD"/>
        </w:rPr>
      </w:r>
      <w:r w:rsidRPr="00F3706B">
        <w:rPr>
          <w:lang w:eastAsia="zh-CN" w:bidi="bn-BD"/>
        </w:rPr>
        <w:fldChar w:fldCharType="separate"/>
      </w:r>
      <w:r w:rsidRPr="00F3706B">
        <w:rPr>
          <w:lang w:eastAsia="zh-CN" w:bidi="bn-BD"/>
        </w:rPr>
        <w:t>D.3.1.2</w:t>
      </w:r>
      <w:r w:rsidRPr="00F3706B">
        <w:rPr>
          <w:lang w:eastAsia="zh-CN" w:bidi="bn-BD"/>
        </w:rPr>
        <w:fldChar w:fldCharType="end"/>
      </w:r>
      <w:r w:rsidRPr="00F3706B">
        <w:rPr>
          <w:lang w:eastAsia="zh-CN" w:bidi="bn-BD"/>
        </w:rPr>
        <w:t xml:space="preserve"> and </w:t>
      </w:r>
      <w:r w:rsidRPr="00F3706B">
        <w:rPr>
          <w:lang w:eastAsia="zh-CN" w:bidi="bn-BD"/>
        </w:rPr>
        <w:fldChar w:fldCharType="begin"/>
      </w:r>
      <w:r w:rsidRPr="00F3706B">
        <w:rPr>
          <w:lang w:eastAsia="zh-CN" w:bidi="bn-BD"/>
        </w:rPr>
        <w:instrText xml:space="preserve"> REF _Ref2958494 \r \h </w:instrText>
      </w:r>
      <w:r w:rsidRPr="00F3706B">
        <w:rPr>
          <w:lang w:eastAsia="zh-CN" w:bidi="bn-BD"/>
        </w:rPr>
      </w:r>
      <w:r w:rsidRPr="00F3706B">
        <w:rPr>
          <w:lang w:eastAsia="zh-CN" w:bidi="bn-BD"/>
        </w:rPr>
        <w:fldChar w:fldCharType="separate"/>
      </w:r>
      <w:r w:rsidRPr="00F3706B">
        <w:rPr>
          <w:lang w:eastAsia="zh-CN" w:bidi="bn-BD"/>
        </w:rPr>
        <w:t>D.3.1.3</w:t>
      </w:r>
      <w:r w:rsidRPr="00F3706B">
        <w:rPr>
          <w:lang w:eastAsia="zh-CN" w:bidi="bn-BD"/>
        </w:rPr>
        <w:fldChar w:fldCharType="end"/>
      </w:r>
      <w:r w:rsidRPr="00F3706B">
        <w:rPr>
          <w:lang w:eastAsia="zh-CN" w:bidi="bn-BD"/>
        </w:rPr>
        <w:t xml:space="preserve">. </w:t>
      </w:r>
    </w:p>
    <w:p w14:paraId="0234445D" w14:textId="77777777" w:rsidR="00873EB1" w:rsidRPr="008706AD" w:rsidRDefault="00873EB1" w:rsidP="00873EB1">
      <w:pPr>
        <w:pStyle w:val="ANNEX-heading3"/>
        <w:rPr>
          <w:lang w:val="en-GB"/>
        </w:rPr>
      </w:pPr>
      <w:bookmarkStart w:id="64" w:name="_Toc498678075"/>
      <w:r w:rsidRPr="008706AD">
        <w:rPr>
          <w:lang w:val="en-GB"/>
        </w:rPr>
        <w:t>Relation between providing confidentiality and integrity</w:t>
      </w:r>
      <w:bookmarkEnd w:id="64"/>
    </w:p>
    <w:p w14:paraId="2A2F5550" w14:textId="77777777" w:rsidR="00873EB1" w:rsidRPr="00F3706B" w:rsidRDefault="00873EB1" w:rsidP="00873EB1">
      <w:pPr>
        <w:pStyle w:val="NormalParagraph"/>
        <w:rPr>
          <w:lang w:eastAsia="zh-CN" w:bidi="bn-BD"/>
        </w:rPr>
      </w:pPr>
      <w:r w:rsidRPr="00F3706B">
        <w:rPr>
          <w:lang w:eastAsia="zh-CN" w:bidi="bn-BD"/>
        </w:rPr>
        <w:t>Integrity and confidentiality measures need to work together. The following sequence of actions generally applies to the AVP protection scheme:</w:t>
      </w:r>
    </w:p>
    <w:p w14:paraId="74E8BA60"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As the confidentiality protected AVPs are to be encrypted, first the confidentiality measures need to be applied to these AVPs and included in an encrypted AVP container. See section </w:t>
      </w:r>
      <w:r w:rsidRPr="00F3706B">
        <w:rPr>
          <w:lang w:eastAsia="zh-CN" w:bidi="bn-BD"/>
        </w:rPr>
        <w:fldChar w:fldCharType="begin"/>
      </w:r>
      <w:r w:rsidRPr="00F3706B">
        <w:rPr>
          <w:lang w:eastAsia="zh-CN" w:bidi="bn-BD"/>
        </w:rPr>
        <w:instrText xml:space="preserve"> REF _Ref2960900 \r \h </w:instrText>
      </w:r>
      <w:r w:rsidRPr="00F3706B">
        <w:rPr>
          <w:lang w:eastAsia="zh-CN" w:bidi="bn-BD"/>
        </w:rPr>
      </w:r>
      <w:r w:rsidRPr="00F3706B">
        <w:rPr>
          <w:lang w:eastAsia="zh-CN" w:bidi="bn-BD"/>
        </w:rPr>
        <w:fldChar w:fldCharType="separate"/>
      </w:r>
      <w:r w:rsidRPr="00F3706B">
        <w:rPr>
          <w:lang w:eastAsia="zh-CN" w:bidi="bn-BD"/>
        </w:rPr>
        <w:t>D.3.4.2</w:t>
      </w:r>
      <w:r w:rsidRPr="00F3706B">
        <w:rPr>
          <w:lang w:eastAsia="zh-CN" w:bidi="bn-BD"/>
        </w:rPr>
        <w:fldChar w:fldCharType="end"/>
      </w:r>
      <w:r w:rsidRPr="008C1B2C">
        <w:rPr>
          <w:lang w:eastAsia="zh-CN" w:bidi="bn-BD"/>
        </w:rPr>
        <w:fldChar w:fldCharType="begin"/>
      </w:r>
      <w:r w:rsidRPr="00F3706B">
        <w:rPr>
          <w:lang w:eastAsia="zh-CN" w:bidi="bn-BD"/>
        </w:rPr>
        <w:instrText xml:space="preserve"> REF _Ref2960904 \r \h </w:instrText>
      </w:r>
      <w:r w:rsidRPr="008C1B2C">
        <w:rPr>
          <w:lang w:eastAsia="zh-CN" w:bidi="bn-BD"/>
        </w:rPr>
      </w:r>
      <w:r w:rsidRPr="008C1B2C">
        <w:rPr>
          <w:lang w:eastAsia="zh-CN" w:bidi="bn-BD"/>
        </w:rPr>
        <w:fldChar w:fldCharType="end"/>
      </w:r>
      <w:r w:rsidRPr="00F3706B">
        <w:rPr>
          <w:lang w:eastAsia="zh-CN" w:bidi="bn-BD"/>
        </w:rPr>
        <w:t xml:space="preserve"> for the implementation details.</w:t>
      </w:r>
    </w:p>
    <w:p w14:paraId="1F42DD54"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Subsequently the integrity measures are applied on top of all AVPs, except for the Route-Record, by signing the entire contents and adding an AVP signature. In this process the encrypted container and the fields that are represented in the container, may not be changed. See section </w:t>
      </w:r>
      <w:r w:rsidRPr="00F3706B">
        <w:rPr>
          <w:lang w:eastAsia="zh-CN" w:bidi="bn-BD"/>
        </w:rPr>
        <w:fldChar w:fldCharType="begin"/>
      </w:r>
      <w:r w:rsidRPr="00F3706B">
        <w:rPr>
          <w:lang w:eastAsia="zh-CN" w:bidi="bn-BD"/>
        </w:rPr>
        <w:instrText xml:space="preserve"> REF _Ref2960904 \r \h </w:instrText>
      </w:r>
      <w:r w:rsidRPr="00F3706B">
        <w:rPr>
          <w:lang w:eastAsia="zh-CN" w:bidi="bn-BD"/>
        </w:rPr>
      </w:r>
      <w:r w:rsidRPr="00F3706B">
        <w:rPr>
          <w:lang w:eastAsia="zh-CN" w:bidi="bn-BD"/>
        </w:rPr>
        <w:fldChar w:fldCharType="separate"/>
      </w:r>
      <w:r w:rsidRPr="00F3706B">
        <w:rPr>
          <w:lang w:eastAsia="zh-CN" w:bidi="bn-BD"/>
        </w:rPr>
        <w:t>D.3.4.3</w:t>
      </w:r>
      <w:r w:rsidRPr="00F3706B">
        <w:rPr>
          <w:lang w:eastAsia="zh-CN" w:bidi="bn-BD"/>
        </w:rPr>
        <w:fldChar w:fldCharType="end"/>
      </w:r>
      <w:r w:rsidRPr="00F3706B">
        <w:rPr>
          <w:lang w:eastAsia="zh-CN" w:bidi="bn-BD"/>
        </w:rPr>
        <w:t xml:space="preserve"> for the implementation details.</w:t>
      </w:r>
    </w:p>
    <w:p w14:paraId="63319B15" w14:textId="77777777" w:rsidR="00873EB1" w:rsidRPr="00F3706B" w:rsidRDefault="00873EB1" w:rsidP="00873EB1">
      <w:pPr>
        <w:pStyle w:val="NormalParagraph"/>
        <w:rPr>
          <w:lang w:eastAsia="zh-CN" w:bidi="bn-BD"/>
        </w:rPr>
      </w:pPr>
      <w:bookmarkStart w:id="65" w:name="_Toc498678073"/>
      <w:bookmarkStart w:id="66" w:name="_Ref2960900"/>
      <w:r w:rsidRPr="00F3706B">
        <w:rPr>
          <w:lang w:eastAsia="zh-CN" w:bidi="bn-BD"/>
        </w:rPr>
        <w:t>T</w:t>
      </w:r>
      <w:r w:rsidRPr="00F3706B">
        <w:rPr>
          <w:lang w:eastAsia="en-US" w:bidi="bn-BD"/>
        </w:rPr>
        <w:t xml:space="preserve">he AVPs needing confidentiality (and integrity) protection and the AVPs needing integrity protection only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01175DFB" w14:textId="77777777" w:rsidR="00873EB1" w:rsidRPr="008706AD" w:rsidRDefault="00873EB1" w:rsidP="00873EB1">
      <w:pPr>
        <w:pStyle w:val="ANNEX-heading3"/>
        <w:rPr>
          <w:lang w:val="en-GB"/>
        </w:rPr>
      </w:pPr>
      <w:bookmarkStart w:id="67" w:name="_Ref3147732"/>
      <w:r w:rsidRPr="008706AD">
        <w:rPr>
          <w:lang w:val="en-GB"/>
        </w:rPr>
        <w:t>Providing Confidentiality</w:t>
      </w:r>
      <w:bookmarkEnd w:id="65"/>
      <w:r w:rsidRPr="008706AD">
        <w:rPr>
          <w:lang w:val="en-GB"/>
        </w:rPr>
        <w:t xml:space="preserve"> Protection</w:t>
      </w:r>
      <w:bookmarkEnd w:id="66"/>
      <w:bookmarkEnd w:id="67"/>
    </w:p>
    <w:p w14:paraId="787D287E" w14:textId="77777777" w:rsidR="00873EB1" w:rsidRPr="008706AD" w:rsidRDefault="00873EB1" w:rsidP="00873EB1">
      <w:pPr>
        <w:pStyle w:val="NormalParagraph"/>
        <w:rPr>
          <w:lang w:eastAsia="zh-CN" w:bidi="bn-BD"/>
        </w:rPr>
      </w:pPr>
      <w:r w:rsidRPr="00F3706B">
        <w:rPr>
          <w:lang w:eastAsia="zh-CN" w:bidi="bn-BD"/>
        </w:rPr>
        <w:t xml:space="preserve">For the encryption a symmetric scheme with the Datagram Transport Layer Security (DTLS) protocol is used for the selective set of AVPs as assigned in Annex A that need confidentiality protection. This includes perfect forward secrecy (PFS) to assure that session keys will not be compromised even if the private key of the server is compromised. The specifics of the key management procedure can be found in </w:t>
      </w:r>
      <w:r w:rsidRPr="00F3706B">
        <w:rPr>
          <w:highlight w:val="yellow"/>
          <w:lang w:eastAsia="zh-CN" w:bidi="bn-BD"/>
        </w:rPr>
        <w:t>…</w:t>
      </w:r>
    </w:p>
    <w:p w14:paraId="74876075" w14:textId="77777777" w:rsidR="00873EB1" w:rsidRPr="00F3706B" w:rsidRDefault="00873EB1" w:rsidP="00873EB1">
      <w:pPr>
        <w:pStyle w:val="NormalParagraph"/>
        <w:rPr>
          <w:lang w:eastAsia="zh-CN" w:bidi="bn-BD"/>
        </w:rPr>
      </w:pPr>
      <w:r w:rsidRPr="00F3706B">
        <w:rPr>
          <w:lang w:eastAsia="zh-CN" w:bidi="bn-BD"/>
        </w:rPr>
        <w:t>The solution works with two DTLS sessions IN/OUT between each pair of DEA/firewalls. The sessions are negotiated by using DTLS handshake over Diameter. After the session expires, a new DTLS handshake is initiated (till the new handshake is done, still the previous session is used). Use is made of Diameter messages for the exchange of the DTLS handshakes.</w:t>
      </w:r>
    </w:p>
    <w:p w14:paraId="088C6976" w14:textId="53DA00A2" w:rsidR="00873EB1" w:rsidRPr="00F3706B" w:rsidRDefault="00873EB1" w:rsidP="00873EB1">
      <w:pPr>
        <w:pStyle w:val="NormalParagraph"/>
        <w:rPr>
          <w:i/>
          <w:highlight w:val="yellow"/>
          <w:lang w:eastAsia="zh-CN" w:bidi="bn-BD"/>
        </w:rPr>
      </w:pPr>
      <w:r w:rsidRPr="00F3706B">
        <w:rPr>
          <w:i/>
          <w:highlight w:val="yellow"/>
          <w:lang w:eastAsia="zh-CN" w:bidi="bn-BD"/>
        </w:rPr>
        <w:t xml:space="preserve">DTLS has been selected for the </w:t>
      </w:r>
      <w:r w:rsidR="00F3706B">
        <w:rPr>
          <w:i/>
          <w:highlight w:val="yellow"/>
          <w:lang w:eastAsia="zh-CN" w:bidi="bn-BD"/>
        </w:rPr>
        <w:t>proof of concept (</w:t>
      </w:r>
      <w:r w:rsidRPr="00F3706B">
        <w:rPr>
          <w:i/>
          <w:highlight w:val="yellow"/>
          <w:lang w:eastAsia="zh-CN" w:bidi="bn-BD"/>
        </w:rPr>
        <w:t>PoC</w:t>
      </w:r>
      <w:r w:rsidR="00F3706B">
        <w:rPr>
          <w:i/>
          <w:highlight w:val="yellow"/>
          <w:lang w:eastAsia="zh-CN" w:bidi="bn-BD"/>
        </w:rPr>
        <w:t>)</w:t>
      </w:r>
      <w:r w:rsidRPr="00F3706B">
        <w:rPr>
          <w:i/>
          <w:highlight w:val="yellow"/>
          <w:lang w:eastAsia="zh-CN" w:bidi="bn-BD"/>
        </w:rPr>
        <w:t xml:space="preserve"> to ensure that the Diameter messages will be delivered in the proper order between SP1 and SP2 as there is no re-transmission mechanism for Diameter messages end-to-end. DTLS (compared to TLS) solves two problems: packet lost and reordering. DTLS implements packet retransmission, assigning sequence number within the handshake and replay detection.</w:t>
      </w:r>
    </w:p>
    <w:p w14:paraId="0DB67836" w14:textId="77777777" w:rsidR="00873EB1" w:rsidRPr="00F3706B" w:rsidRDefault="00873EB1" w:rsidP="00873EB1">
      <w:pPr>
        <w:pStyle w:val="NormalParagraph"/>
        <w:rPr>
          <w:i/>
          <w:highlight w:val="yellow"/>
          <w:lang w:eastAsia="zh-CN" w:bidi="bn-BD"/>
        </w:rPr>
      </w:pPr>
      <w:r w:rsidRPr="00F3706B">
        <w:rPr>
          <w:i/>
          <w:highlight w:val="yellow"/>
          <w:lang w:eastAsia="zh-CN" w:bidi="bn-BD"/>
        </w:rPr>
        <w:t xml:space="preserve">As per </w:t>
      </w:r>
      <w:hyperlink r:id="rId18" w:history="1">
        <w:r w:rsidRPr="00F3706B">
          <w:rPr>
            <w:rStyle w:val="Hyperlink"/>
            <w:i/>
            <w:highlight w:val="cyan"/>
            <w:lang w:eastAsia="zh-CN" w:bidi="bn-BD"/>
          </w:rPr>
          <w:t>https://tools.ietf.org/html/draft-friel-tls-atls-01</w:t>
        </w:r>
      </w:hyperlink>
      <w:r w:rsidRPr="00F3706B">
        <w:rPr>
          <w:i/>
          <w:highlight w:val="yellow"/>
          <w:lang w:eastAsia="zh-CN" w:bidi="bn-BD"/>
        </w:rPr>
        <w:t xml:space="preserve"> use is made of the keying material for the session (for subsequent Diameter messages) and the negotiated cipher suites (i.e. using the DTLS stack for the Encryption container AVP and the native/negotiated encryption supported by DTLS). However, no use is made for exporting the session keys from DTLS stack nor using it for some extra/application layer or custom encryption or signatures (i.e. for the Signatures AVP still use is made of the asymmetric signature model) </w:t>
      </w:r>
    </w:p>
    <w:p w14:paraId="2C2E66C4"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Diameter handshake messages are encapsulated the whole UDP+DTLS packets. Later in the Diameter protected messages the encrypted container is protected by DTLS/SSLEngine which was initiated by this DTLS handshake.</w:t>
      </w:r>
    </w:p>
    <w:p w14:paraId="0B293B0F" w14:textId="77777777" w:rsidR="00873EB1" w:rsidRPr="00F3706B" w:rsidRDefault="00873EB1" w:rsidP="00873EB1">
      <w:pPr>
        <w:pStyle w:val="NormalParagraph"/>
        <w:rPr>
          <w:i/>
          <w:highlight w:val="yellow"/>
          <w:lang w:eastAsia="zh-CN" w:bidi="bn-BD"/>
        </w:rPr>
      </w:pPr>
      <w:r w:rsidRPr="00F3706B">
        <w:rPr>
          <w:i/>
          <w:highlight w:val="yellow"/>
          <w:lang w:eastAsia="zh-CN" w:bidi="bn-BD"/>
        </w:rPr>
        <w:t>No need is foreseen to sign the Diameter message that provides the DTLS handshake as there is authentication in DTLS like in TLS handshake. MITM attacks should be prevented by properly configuring the trustore in the DEA/firewall only with trusted CAs.</w:t>
      </w:r>
    </w:p>
    <w:p w14:paraId="47CB575C" w14:textId="77777777" w:rsidR="00873EB1" w:rsidRPr="00F3706B" w:rsidRDefault="00873EB1" w:rsidP="00873EB1">
      <w:pPr>
        <w:pStyle w:val="NormalParagraph"/>
        <w:rPr>
          <w:i/>
          <w:highlight w:val="yellow"/>
          <w:lang w:eastAsia="zh-CN" w:bidi="bn-BD"/>
        </w:rPr>
      </w:pPr>
      <w:r w:rsidRPr="00F3706B">
        <w:rPr>
          <w:i/>
          <w:highlight w:val="yellow"/>
          <w:lang w:eastAsia="zh-CN" w:bidi="bn-BD"/>
        </w:rPr>
        <w:t>Use is made of a DTLS handshake each way (2 different keys each direction) by using two DTLS handshakes and two DTLS sessions:</w:t>
      </w:r>
    </w:p>
    <w:p w14:paraId="5EE34501"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1: from SP1 to SP2. </w:t>
      </w:r>
    </w:p>
    <w:p w14:paraId="4FDB165F"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2: from SP2 to SP1. </w:t>
      </w:r>
    </w:p>
    <w:p w14:paraId="22F620A4" w14:textId="77777777" w:rsidR="00873EB1" w:rsidRPr="00F3706B" w:rsidRDefault="00873EB1" w:rsidP="00873EB1">
      <w:pPr>
        <w:pStyle w:val="NormalParagraph"/>
        <w:rPr>
          <w:i/>
          <w:highlight w:val="yellow"/>
          <w:lang w:eastAsia="zh-CN" w:bidi="bn-BD"/>
        </w:rPr>
      </w:pPr>
      <w:r w:rsidRPr="00F3706B">
        <w:rPr>
          <w:i/>
          <w:highlight w:val="yellow"/>
          <w:lang w:eastAsia="zh-CN" w:bidi="bn-BD"/>
        </w:rPr>
        <w:t>The main reason for this is that both ends can independently initiate the DTLS handshake and this is the easiest for implementation to prevent some synchronization problems or concurrent handshakes.</w:t>
      </w:r>
    </w:p>
    <w:p w14:paraId="574EFD28" w14:textId="77777777" w:rsidR="00873EB1" w:rsidRPr="00F3706B" w:rsidRDefault="00873EB1" w:rsidP="00873EB1">
      <w:pPr>
        <w:pStyle w:val="NormalParagraph"/>
        <w:rPr>
          <w:lang w:eastAsia="zh-CN" w:bidi="bn-BD"/>
        </w:rPr>
      </w:pPr>
      <w:r w:rsidRPr="00F3706B">
        <w:rPr>
          <w:lang w:eastAsia="zh-CN" w:bidi="bn-BD"/>
        </w:rPr>
        <w:t>For performance and security reasons (to prevent dictionary/pre-computed attacks on the separate fields which could often contain the same value) the AVPs that need confidentiality protection, should be put together before performing encryption. Additionally, a time-stamp  shall be added before encryption to make it harder to use pre-computed attacks.</w:t>
      </w:r>
    </w:p>
    <w:p w14:paraId="0C52CF9C" w14:textId="0DB34C65" w:rsidR="00873EB1" w:rsidRPr="00F3706B" w:rsidRDefault="00873EB1" w:rsidP="00873EB1">
      <w:pPr>
        <w:pStyle w:val="NormalParagraph"/>
        <w:rPr>
          <w:lang w:eastAsia="zh-CN" w:bidi="bn-BD"/>
        </w:rPr>
      </w:pPr>
      <w:r w:rsidRPr="00F3706B">
        <w:rPr>
          <w:lang w:eastAsia="zh-CN" w:bidi="bn-BD"/>
        </w:rPr>
        <w:t xml:space="preserve">The encryption container </w:t>
      </w:r>
      <w:r w:rsidRPr="00F3706B">
        <w:rPr>
          <w:highlight w:val="yellow"/>
          <w:lang w:eastAsia="zh-CN" w:bidi="bn-BD"/>
        </w:rPr>
        <w:t>(new grouped AVP)</w:t>
      </w:r>
      <w:r w:rsidRPr="00F3706B">
        <w:rPr>
          <w:lang w:eastAsia="zh-CN" w:bidi="bn-BD"/>
        </w:rPr>
        <w:t xml:space="preserve"> </w:t>
      </w:r>
      <w:r w:rsidRPr="00F3706B">
        <w:rPr>
          <w:highlight w:val="yellow"/>
          <w:lang w:eastAsia="zh-CN" w:bidi="bn-BD"/>
        </w:rPr>
        <w:t>DESS_ENCRYPTED AVP</w:t>
      </w:r>
      <w:r w:rsidRPr="00F3706B">
        <w:rPr>
          <w:lang w:eastAsia="zh-CN" w:bidi="bn-BD"/>
        </w:rPr>
        <w:t xml:space="preserve"> does not introduce additional metadata as all nested fields of a Grouped AVP are encrypted in the parent field (i.e. the encryption is done only on top-protocol level. The AVPs or Grouped AVPs that are candidate for encryption are copied into the encryption container</w:t>
      </w:r>
      <w:r w:rsidR="00F3706B">
        <w:rPr>
          <w:lang w:eastAsia="zh-CN" w:bidi="bn-BD"/>
        </w:rPr>
        <w:t xml:space="preserve">. </w:t>
      </w:r>
      <w:r w:rsidRPr="00F3706B">
        <w:rPr>
          <w:lang w:eastAsia="zh-CN" w:bidi="bn-BD"/>
        </w:rPr>
        <w:t xml:space="preserve">After, the data is encrypted on byte level and stored in the DESS_ENCRYPTED AVP as OCTET STRING). </w:t>
      </w:r>
    </w:p>
    <w:p w14:paraId="5FF3529C" w14:textId="17BC0948" w:rsidR="00873EB1" w:rsidRPr="00F3706B" w:rsidRDefault="00873EB1" w:rsidP="00873EB1">
      <w:pPr>
        <w:pStyle w:val="NOTE"/>
        <w:tabs>
          <w:tab w:val="clear" w:pos="1560"/>
          <w:tab w:val="left" w:pos="1276"/>
        </w:tabs>
        <w:ind w:left="1276" w:hanging="919"/>
      </w:pPr>
      <w:r w:rsidRPr="00F3706B">
        <w:t>Note 1</w:t>
      </w:r>
      <w:r w:rsidRPr="00F3706B">
        <w:tab/>
        <w:t>The confidentiality protected AVPs are only transferred in the encrypted AVP and no backward compatibility issues are foreseen with the routing by existing DRAs due to missing mandatory AVPs.</w:t>
      </w:r>
    </w:p>
    <w:p w14:paraId="14B51AB1" w14:textId="77777777" w:rsidR="00873EB1" w:rsidRPr="00F3706B" w:rsidRDefault="00873EB1" w:rsidP="00873EB1">
      <w:pPr>
        <w:pStyle w:val="NOTE"/>
        <w:tabs>
          <w:tab w:val="clear" w:pos="1560"/>
          <w:tab w:val="left" w:pos="1276"/>
        </w:tabs>
        <w:ind w:left="1276" w:hanging="919"/>
      </w:pPr>
      <w:r w:rsidRPr="00F3706B">
        <w:t>Note 2</w:t>
      </w:r>
      <w:r w:rsidRPr="00F3706B">
        <w:tab/>
        <w:t>After decryption the confidentiality protected AVPs could be reconstructed in a different order.</w:t>
      </w:r>
    </w:p>
    <w:p w14:paraId="02CDC0FC" w14:textId="77777777" w:rsidR="00873EB1" w:rsidRPr="00F3706B" w:rsidRDefault="00873EB1" w:rsidP="00873EB1">
      <w:pPr>
        <w:pStyle w:val="NormalParagraph"/>
        <w:rPr>
          <w:i/>
          <w:highlight w:val="yellow"/>
          <w:lang w:eastAsia="zh-CN" w:bidi="bn-BD"/>
        </w:rPr>
      </w:pPr>
      <w:r w:rsidRPr="00F3706B">
        <w:rPr>
          <w:i/>
          <w:highlight w:val="yellow"/>
          <w:lang w:eastAsia="zh-CN" w:bidi="bn-BD"/>
        </w:rPr>
        <w:t>During the PoC no backward compatibility issues were experienced with the forwarding of the confidentiality protected information via existing DRA implementations:</w:t>
      </w:r>
    </w:p>
    <w:p w14:paraId="2A713E5E" w14:textId="77777777"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The confidentiality protected AVPs were only transferred in the encrypted AVP. The existing DRAs did not request any missing mandatory AVPs and the message was transferred normally.</w:t>
      </w:r>
    </w:p>
    <w:p w14:paraId="5572662E" w14:textId="3FDDE528"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No issues were identified with the order of how the AVPs were reconstructed after decryption.</w:t>
      </w:r>
    </w:p>
    <w:p w14:paraId="20C6CEE0" w14:textId="77777777" w:rsidR="00873EB1" w:rsidRPr="008706AD" w:rsidRDefault="00873EB1" w:rsidP="00873EB1">
      <w:pPr>
        <w:pStyle w:val="ANNEX-heading3"/>
        <w:rPr>
          <w:lang w:val="en-GB"/>
        </w:rPr>
      </w:pPr>
      <w:bookmarkStart w:id="68" w:name="_Ref2960904"/>
      <w:r w:rsidRPr="008706AD">
        <w:rPr>
          <w:lang w:val="en-GB"/>
        </w:rPr>
        <w:t>Providing Integrity Protection</w:t>
      </w:r>
      <w:bookmarkEnd w:id="68"/>
    </w:p>
    <w:p w14:paraId="05FB2AE4" w14:textId="318C2968" w:rsidR="00873EB1" w:rsidRPr="00F3706B" w:rsidRDefault="00873EB1" w:rsidP="00873EB1">
      <w:pPr>
        <w:pStyle w:val="NormalParagraph"/>
        <w:rPr>
          <w:lang w:eastAsia="en-US" w:bidi="bn-BD"/>
        </w:rPr>
      </w:pPr>
      <w:r w:rsidRPr="00F3706B">
        <w:rPr>
          <w:lang w:eastAsia="en-US" w:bidi="bn-BD"/>
        </w:rPr>
        <w:t>Asymmetric cryptography is used whereby integrity protection applies to the entire contents of the message (including the e</w:t>
      </w:r>
      <w:r w:rsidR="00F3706B">
        <w:rPr>
          <w:lang w:eastAsia="en-US" w:bidi="bn-BD"/>
        </w:rPr>
        <w:t>n</w:t>
      </w:r>
      <w:r w:rsidRPr="00F3706B">
        <w:rPr>
          <w:lang w:eastAsia="en-US" w:bidi="bn-BD"/>
        </w:rPr>
        <w:t xml:space="preserve">cryption container as in section </w:t>
      </w:r>
      <w:r w:rsidRPr="00F3706B">
        <w:rPr>
          <w:lang w:eastAsia="en-US" w:bidi="bn-BD"/>
        </w:rPr>
        <w:fldChar w:fldCharType="begin"/>
      </w:r>
      <w:r w:rsidRPr="00F3706B">
        <w:rPr>
          <w:lang w:eastAsia="en-US" w:bidi="bn-BD"/>
        </w:rPr>
        <w:instrText xml:space="preserve"> REF _Ref3147732 \r \h </w:instrText>
      </w:r>
      <w:r w:rsidRPr="00F3706B">
        <w:rPr>
          <w:lang w:eastAsia="en-US" w:bidi="bn-BD"/>
        </w:rPr>
      </w:r>
      <w:r w:rsidRPr="00F3706B">
        <w:rPr>
          <w:lang w:eastAsia="en-US" w:bidi="bn-BD"/>
        </w:rPr>
        <w:fldChar w:fldCharType="separate"/>
      </w:r>
      <w:r w:rsidRPr="00F3706B">
        <w:rPr>
          <w:lang w:eastAsia="en-US" w:bidi="bn-BD"/>
        </w:rPr>
        <w:t>D.3.4.2</w:t>
      </w:r>
      <w:r w:rsidRPr="00F3706B">
        <w:rPr>
          <w:lang w:eastAsia="en-US" w:bidi="bn-BD"/>
        </w:rPr>
        <w:fldChar w:fldCharType="end"/>
      </w:r>
      <w:r w:rsidRPr="00F3706B">
        <w:rPr>
          <w:lang w:eastAsia="en-US" w:bidi="bn-BD"/>
        </w:rPr>
        <w:t xml:space="preserve">) but except for the Route-Record AVP. A digital signature is added for which the standard approach is illustrated in </w:t>
      </w:r>
      <w:r w:rsidRPr="00F3706B">
        <w:rPr>
          <w:lang w:eastAsia="en-US" w:bidi="bn-BD"/>
        </w:rPr>
        <w:fldChar w:fldCharType="begin"/>
      </w:r>
      <w:r w:rsidRPr="00F3706B">
        <w:rPr>
          <w:lang w:eastAsia="en-US" w:bidi="bn-BD"/>
        </w:rPr>
        <w:instrText xml:space="preserve"> REF _Ref3147837 \r \h </w:instrText>
      </w:r>
      <w:r w:rsidRPr="00F3706B">
        <w:rPr>
          <w:lang w:eastAsia="en-US" w:bidi="bn-BD"/>
        </w:rPr>
      </w:r>
      <w:r w:rsidRPr="00F3706B">
        <w:rPr>
          <w:lang w:eastAsia="en-US" w:bidi="bn-BD"/>
        </w:rPr>
        <w:fldChar w:fldCharType="separate"/>
      </w:r>
      <w:r w:rsidRPr="00F3706B">
        <w:rPr>
          <w:lang w:eastAsia="en-US" w:bidi="bn-BD"/>
        </w:rPr>
        <w:t>Figure 41</w:t>
      </w:r>
      <w:r w:rsidRPr="00F3706B">
        <w:rPr>
          <w:lang w:eastAsia="en-US" w:bidi="bn-BD"/>
        </w:rPr>
        <w:fldChar w:fldCharType="end"/>
      </w:r>
      <w:r w:rsidRPr="00F3706B">
        <w:rPr>
          <w:lang w:eastAsia="en-US" w:bidi="bn-BD"/>
        </w:rPr>
        <w:t>.</w:t>
      </w:r>
    </w:p>
    <w:p w14:paraId="0FA91332" w14:textId="77777777" w:rsidR="00873EB1" w:rsidRPr="00F3706B" w:rsidRDefault="00873EB1" w:rsidP="00873EB1">
      <w:pPr>
        <w:pStyle w:val="NormalParagraph"/>
        <w:keepNext/>
      </w:pPr>
      <w:r w:rsidRPr="00F3706B">
        <w:rPr>
          <w:noProof/>
        </w:rPr>
        <w:drawing>
          <wp:inline distT="0" distB="0" distL="0" distR="0" wp14:anchorId="2C2AB0D8" wp14:editId="7CCF108D">
            <wp:extent cx="5219700" cy="280035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700" cy="2800350"/>
                    </a:xfrm>
                    <a:prstGeom prst="rect">
                      <a:avLst/>
                    </a:prstGeom>
                    <a:noFill/>
                    <a:ln>
                      <a:noFill/>
                    </a:ln>
                  </pic:spPr>
                </pic:pic>
              </a:graphicData>
            </a:graphic>
          </wp:inline>
        </w:drawing>
      </w:r>
      <w:r w:rsidRPr="00F3706B" w:rsidDel="00BA692E">
        <w:t xml:space="preserve"> </w:t>
      </w:r>
      <w:r w:rsidRPr="00F3706B">
        <w:t xml:space="preserve"> </w:t>
      </w:r>
    </w:p>
    <w:p w14:paraId="645218A3" w14:textId="77777777" w:rsidR="00873EB1" w:rsidRPr="00F3706B" w:rsidRDefault="00873EB1" w:rsidP="00873EB1">
      <w:pPr>
        <w:pStyle w:val="NormalParagraph"/>
        <w:keepNext/>
      </w:pPr>
    </w:p>
    <w:p w14:paraId="3C881D40" w14:textId="77777777" w:rsidR="00873EB1" w:rsidRPr="008706AD" w:rsidRDefault="00873EB1" w:rsidP="00873EB1">
      <w:pPr>
        <w:pStyle w:val="Figurecaption"/>
        <w:rPr>
          <w:lang w:val="en-GB" w:eastAsia="en-US"/>
        </w:rPr>
      </w:pPr>
      <w:bookmarkStart w:id="69" w:name="_Ref497925923"/>
      <w:r w:rsidRPr="008706AD">
        <w:rPr>
          <w:lang w:val="en-GB"/>
        </w:rPr>
        <w:t xml:space="preserve"> </w:t>
      </w:r>
      <w:bookmarkStart w:id="70" w:name="_Ref3147837"/>
      <w:r w:rsidRPr="008706AD">
        <w:rPr>
          <w:lang w:val="en-GB"/>
        </w:rPr>
        <w:t>– Standard approach of protecting integrity of messages</w:t>
      </w:r>
      <w:bookmarkEnd w:id="69"/>
      <w:bookmarkEnd w:id="70"/>
    </w:p>
    <w:p w14:paraId="4CD6F9A4" w14:textId="77777777" w:rsidR="00873EB1" w:rsidRPr="00F3706B" w:rsidRDefault="00873EB1" w:rsidP="00873EB1">
      <w:pPr>
        <w:pStyle w:val="NormalParagraph"/>
        <w:rPr>
          <w:lang w:eastAsia="en-US" w:bidi="bn-BD"/>
        </w:rPr>
      </w:pPr>
      <w:r w:rsidRPr="00F3706B">
        <w:rPr>
          <w:lang w:eastAsia="en-US" w:bidi="bn-BD"/>
        </w:rPr>
        <w:t xml:space="preserve">Service provider A sends a message to service provider B via IPX provider A which is in this case a simplified message containing only 3 fields. </w:t>
      </w:r>
    </w:p>
    <w:p w14:paraId="6E33D6CD" w14:textId="77777777" w:rsidR="00873EB1" w:rsidRPr="00F3706B" w:rsidRDefault="00873EB1" w:rsidP="008706AD">
      <w:pPr>
        <w:pStyle w:val="NormalParagraph"/>
        <w:numPr>
          <w:ilvl w:val="0"/>
          <w:numId w:val="31"/>
        </w:numPr>
        <w:rPr>
          <w:lang w:eastAsia="en-US" w:bidi="bn-BD"/>
        </w:rPr>
      </w:pPr>
      <w:r w:rsidRPr="00F3706B">
        <w:rPr>
          <w:lang w:eastAsia="en-US" w:bidi="bn-BD"/>
        </w:rPr>
        <w:t xml:space="preserve">At the border of service provider A, the AVPs are ordered, then a digital signature is calculated from fields. Field 1 to 3 is signed with the private key of service provider A. </w:t>
      </w:r>
    </w:p>
    <w:p w14:paraId="55C46896" w14:textId="4824A277" w:rsidR="00873EB1" w:rsidRPr="00F3706B" w:rsidRDefault="00873EB1" w:rsidP="008706AD">
      <w:pPr>
        <w:pStyle w:val="NormalParagraph"/>
        <w:numPr>
          <w:ilvl w:val="0"/>
          <w:numId w:val="31"/>
        </w:numPr>
        <w:rPr>
          <w:lang w:eastAsia="en-US" w:bidi="bn-BD"/>
        </w:rPr>
      </w:pPr>
      <w:r w:rsidRPr="00F3706B">
        <w:rPr>
          <w:lang w:eastAsia="en-US" w:bidi="bn-BD"/>
        </w:rPr>
        <w:t xml:space="preserve">Service provider B will apply the same operation with the public key of service provider A. It will order AVPs, calculate signature of field 1 to 3 and compares the result with the signature received from service provider A. </w:t>
      </w:r>
    </w:p>
    <w:p w14:paraId="6AED34E8" w14:textId="77777777" w:rsidR="00873EB1" w:rsidRPr="00F3706B" w:rsidRDefault="00873EB1" w:rsidP="00873EB1">
      <w:pPr>
        <w:pStyle w:val="NormalParagraph"/>
        <w:rPr>
          <w:lang w:eastAsia="en-US" w:bidi="bn-BD"/>
        </w:rPr>
      </w:pPr>
      <w:r w:rsidRPr="00F3706B">
        <w:rPr>
          <w:lang w:eastAsia="en-US" w:bidi="bn-BD"/>
        </w:rPr>
        <w:t xml:space="preserve">The standard approach applies if IPX provider A doesn’t makes any modifications to the integrity protected AVPs. In case intermediate IPX provider A makes modifications to the contents of the message, it will resign the message and overwrites the signature  in the digital signature field. </w:t>
      </w:r>
    </w:p>
    <w:p w14:paraId="29139022" w14:textId="77777777" w:rsidR="00873EB1" w:rsidRPr="00F3706B" w:rsidRDefault="00873EB1" w:rsidP="00873EB1">
      <w:pPr>
        <w:pStyle w:val="NormalParagraph"/>
      </w:pPr>
      <w:r w:rsidRPr="00F3706B">
        <w:rPr>
          <w:lang w:eastAsia="en-US" w:bidi="bn-BD"/>
        </w:rPr>
        <w:t>Which public key service provider B need to use is indicated by the contents of the field “ DESS_</w:t>
      </w:r>
      <w:r w:rsidRPr="008706AD">
        <w:rPr>
          <w:lang w:eastAsia="en-US" w:bidi="bn-BD"/>
        </w:rPr>
        <w:t>Signing_Realm</w:t>
      </w:r>
      <w:r w:rsidRPr="00F3706B">
        <w:rPr>
          <w:lang w:eastAsia="en-US" w:bidi="bn-BD"/>
        </w:rPr>
        <w:t xml:space="preserve">” </w:t>
      </w:r>
      <w:r w:rsidRPr="00F3706B">
        <w:t xml:space="preserve">of the </w:t>
      </w:r>
      <w:r w:rsidRPr="00F3706B">
        <w:rPr>
          <w:highlight w:val="yellow"/>
        </w:rPr>
        <w:t>Grouped SIGNATURE AVP</w:t>
      </w:r>
      <w:r w:rsidRPr="00F3706B">
        <w:t xml:space="preserve"> is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p w14:paraId="6E8D38E6" w14:textId="77777777" w:rsidR="00873EB1" w:rsidRPr="00F3706B" w:rsidRDefault="00873EB1" w:rsidP="008706AD">
      <w:pPr>
        <w:pStyle w:val="NormalParagraph"/>
        <w:numPr>
          <w:ilvl w:val="0"/>
          <w:numId w:val="30"/>
        </w:numPr>
        <w:rPr>
          <w:lang w:eastAsia="en-US" w:bidi="bn-BD"/>
        </w:rPr>
      </w:pPr>
      <w:r w:rsidRPr="00F3706B">
        <w:rPr>
          <w:lang w:eastAsia="en-US" w:bidi="bn-BD"/>
        </w:rPr>
        <w:t>Not present if the signature is the digital signature added by Service provider A. In this case Service provider B needs to use the Origin-Realm as indicator which key to use</w:t>
      </w:r>
    </w:p>
    <w:p w14:paraId="3ACCB382" w14:textId="77777777" w:rsidR="00873EB1" w:rsidRPr="00F3706B" w:rsidRDefault="00873EB1" w:rsidP="008706AD">
      <w:pPr>
        <w:pStyle w:val="NormalParagraph"/>
        <w:numPr>
          <w:ilvl w:val="0"/>
          <w:numId w:val="30"/>
        </w:numPr>
        <w:rPr>
          <w:lang w:eastAsia="en-US" w:bidi="bn-BD"/>
        </w:rPr>
      </w:pPr>
      <w:r w:rsidRPr="00F3706B">
        <w:rPr>
          <w:lang w:eastAsia="en-US" w:bidi="bn-BD"/>
        </w:rPr>
        <w:t>If present, the DESS_</w:t>
      </w:r>
      <w:r w:rsidRPr="008706AD">
        <w:rPr>
          <w:lang w:eastAsia="en-US" w:bidi="bn-BD"/>
        </w:rPr>
        <w:t>Signing_Realm</w:t>
      </w:r>
      <w:r w:rsidRPr="00F3706B" w:rsidDel="00B92F97">
        <w:rPr>
          <w:lang w:eastAsia="en-US" w:bidi="bn-BD"/>
        </w:rPr>
        <w:t xml:space="preserve"> </w:t>
      </w:r>
      <w:r w:rsidRPr="00F3706B">
        <w:rPr>
          <w:lang w:eastAsia="en-US" w:bidi="bn-BD"/>
        </w:rPr>
        <w:t xml:space="preserve"> points to the IPX provider that last signed the message</w:t>
      </w:r>
    </w:p>
    <w:p w14:paraId="5A0F680E" w14:textId="77777777" w:rsidR="00873EB1" w:rsidRPr="00F3706B" w:rsidRDefault="00873EB1" w:rsidP="00873EB1">
      <w:pPr>
        <w:pStyle w:val="NormalParagraph"/>
      </w:pPr>
      <w:r w:rsidRPr="00F3706B">
        <w:t xml:space="preserve">The structure of the Grouped DESS_SIGNATURE AVP is shown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6067"/>
      </w:tblGrid>
      <w:tr w:rsidR="00873EB1" w:rsidRPr="00F3706B" w14:paraId="561C7060" w14:textId="77777777" w:rsidTr="00B2432E">
        <w:tc>
          <w:tcPr>
            <w:tcW w:w="2405" w:type="dxa"/>
            <w:shd w:val="clear" w:color="auto" w:fill="C00000"/>
          </w:tcPr>
          <w:p w14:paraId="1C17B528" w14:textId="77777777" w:rsidR="00873EB1" w:rsidRPr="00F3706B" w:rsidRDefault="00873EB1" w:rsidP="00B2432E">
            <w:pPr>
              <w:pStyle w:val="TableHeader"/>
              <w:rPr>
                <w:lang w:val="en-GB"/>
              </w:rPr>
            </w:pPr>
            <w:r w:rsidRPr="00F3706B">
              <w:rPr>
                <w:lang w:val="en-GB"/>
              </w:rPr>
              <w:t>Name</w:t>
            </w:r>
          </w:p>
        </w:tc>
        <w:tc>
          <w:tcPr>
            <w:tcW w:w="6067" w:type="dxa"/>
            <w:shd w:val="clear" w:color="auto" w:fill="C00000"/>
          </w:tcPr>
          <w:p w14:paraId="548D91BA" w14:textId="77777777" w:rsidR="00873EB1" w:rsidRPr="00F3706B" w:rsidRDefault="00873EB1" w:rsidP="00B2432E">
            <w:pPr>
              <w:pStyle w:val="TableHeader"/>
              <w:rPr>
                <w:lang w:val="en-GB"/>
              </w:rPr>
            </w:pPr>
            <w:r w:rsidRPr="00F3706B">
              <w:rPr>
                <w:lang w:val="en-GB"/>
              </w:rPr>
              <w:t>Description</w:t>
            </w:r>
          </w:p>
        </w:tc>
      </w:tr>
      <w:tr w:rsidR="00873EB1" w:rsidRPr="00F3706B" w14:paraId="3FEDEE9F" w14:textId="77777777" w:rsidTr="00B2432E">
        <w:tc>
          <w:tcPr>
            <w:tcW w:w="2405" w:type="dxa"/>
          </w:tcPr>
          <w:p w14:paraId="1C0FEA9E" w14:textId="77777777" w:rsidR="00873EB1" w:rsidRPr="00F3706B" w:rsidRDefault="00873EB1" w:rsidP="00B2432E">
            <w:pPr>
              <w:pStyle w:val="TableText"/>
              <w:rPr>
                <w:sz w:val="22"/>
              </w:rPr>
            </w:pPr>
            <w:r w:rsidRPr="008706AD">
              <w:rPr>
                <w:lang w:eastAsia="en-US" w:bidi="bn-BD"/>
              </w:rPr>
              <w:t>DESS_Signing_Realm</w:t>
            </w:r>
            <w:r w:rsidRPr="00F3706B" w:rsidDel="00B92F97">
              <w:rPr>
                <w:sz w:val="22"/>
                <w:lang w:eastAsia="en-US" w:bidi="bn-BD"/>
              </w:rPr>
              <w:t xml:space="preserve"> </w:t>
            </w:r>
          </w:p>
        </w:tc>
        <w:tc>
          <w:tcPr>
            <w:tcW w:w="6067" w:type="dxa"/>
          </w:tcPr>
          <w:p w14:paraId="29A87DC6" w14:textId="77777777" w:rsidR="00873EB1" w:rsidRPr="00F3706B" w:rsidRDefault="00873EB1" w:rsidP="00B2432E">
            <w:pPr>
              <w:pStyle w:val="TableText"/>
              <w:keepNext/>
              <w:rPr>
                <w:sz w:val="22"/>
              </w:rPr>
            </w:pPr>
            <w:r w:rsidRPr="00F3706B">
              <w:rPr>
                <w:sz w:val="22"/>
                <w:lang w:eastAsia="en-US" w:bidi="bn-BD"/>
              </w:rPr>
              <w:t>The indicator pointing to the entity that signed the message, if not present the Entity in the Origin-Realm AVP applies</w:t>
            </w:r>
          </w:p>
        </w:tc>
      </w:tr>
      <w:tr w:rsidR="00873EB1" w:rsidRPr="00F3706B" w14:paraId="7A232D0A" w14:textId="77777777" w:rsidTr="00B2432E">
        <w:tc>
          <w:tcPr>
            <w:tcW w:w="2405" w:type="dxa"/>
          </w:tcPr>
          <w:p w14:paraId="25E80D80" w14:textId="77777777" w:rsidR="00873EB1" w:rsidRPr="00F3706B" w:rsidRDefault="00873EB1" w:rsidP="00B2432E">
            <w:pPr>
              <w:pStyle w:val="TableText"/>
              <w:rPr>
                <w:sz w:val="22"/>
              </w:rPr>
            </w:pPr>
            <w:r w:rsidRPr="00F3706B">
              <w:rPr>
                <w:sz w:val="22"/>
                <w:lang w:eastAsia="en-US" w:bidi="bn-BD"/>
              </w:rPr>
              <w:t>DESS_Digital_ Signature</w:t>
            </w:r>
          </w:p>
        </w:tc>
        <w:tc>
          <w:tcPr>
            <w:tcW w:w="6067" w:type="dxa"/>
          </w:tcPr>
          <w:p w14:paraId="525AA2C4" w14:textId="77777777" w:rsidR="00873EB1" w:rsidRPr="00F3706B" w:rsidRDefault="00873EB1" w:rsidP="00B2432E">
            <w:pPr>
              <w:pStyle w:val="TableText"/>
              <w:rPr>
                <w:sz w:val="22"/>
              </w:rPr>
            </w:pPr>
            <w:r w:rsidRPr="00F3706B">
              <w:rPr>
                <w:sz w:val="22"/>
                <w:lang w:eastAsia="en-US" w:bidi="bn-BD"/>
              </w:rPr>
              <w:t xml:space="preserve">A digital signature representing all AVPs except Route-Record AVP, including the DESS_System_Time and the DESS_Signing_Realm (if present)  </w:t>
            </w:r>
          </w:p>
        </w:tc>
      </w:tr>
      <w:tr w:rsidR="00873EB1" w:rsidRPr="00F3706B" w14:paraId="4E41C90C" w14:textId="77777777" w:rsidTr="00B2432E">
        <w:tc>
          <w:tcPr>
            <w:tcW w:w="2405" w:type="dxa"/>
          </w:tcPr>
          <w:p w14:paraId="3283D1CB" w14:textId="77777777" w:rsidR="00873EB1" w:rsidRPr="00F3706B" w:rsidRDefault="00873EB1" w:rsidP="00B2432E">
            <w:pPr>
              <w:pStyle w:val="TableText"/>
              <w:rPr>
                <w:sz w:val="22"/>
              </w:rPr>
            </w:pPr>
            <w:r w:rsidRPr="00F3706B">
              <w:rPr>
                <w:sz w:val="22"/>
                <w:lang w:eastAsia="en-US" w:bidi="bn-BD"/>
              </w:rPr>
              <w:t>DESS_System_Time</w:t>
            </w:r>
          </w:p>
        </w:tc>
        <w:tc>
          <w:tcPr>
            <w:tcW w:w="6067" w:type="dxa"/>
          </w:tcPr>
          <w:p w14:paraId="061427A6" w14:textId="77777777" w:rsidR="00873EB1" w:rsidRPr="00F3706B" w:rsidRDefault="00873EB1" w:rsidP="00B2432E">
            <w:pPr>
              <w:pStyle w:val="TableText"/>
              <w:rPr>
                <w:sz w:val="22"/>
              </w:rPr>
            </w:pPr>
            <w:r w:rsidRPr="00F3706B">
              <w:rPr>
                <w:sz w:val="22"/>
                <w:lang w:eastAsia="en-US" w:bidi="bn-BD"/>
              </w:rPr>
              <w:t>The system time in GMT</w:t>
            </w:r>
          </w:p>
        </w:tc>
      </w:tr>
    </w:tbl>
    <w:p w14:paraId="4CCA9E9C" w14:textId="77777777" w:rsidR="00873EB1" w:rsidRPr="00F3706B" w:rsidRDefault="00873EB1" w:rsidP="00873EB1">
      <w:pPr>
        <w:pStyle w:val="TableCaption"/>
        <w:rPr>
          <w:lang w:eastAsia="en-US"/>
        </w:rPr>
      </w:pPr>
      <w:r w:rsidRPr="00F3706B">
        <w:t xml:space="preserve"> </w:t>
      </w:r>
      <w:bookmarkStart w:id="71" w:name="_Ref3149714"/>
      <w:r w:rsidRPr="00F3706B">
        <w:t>– Contents of the Grouped DESS_SIGNATURE AVP</w:t>
      </w:r>
      <w:bookmarkEnd w:id="71"/>
    </w:p>
    <w:p w14:paraId="1433AAEE" w14:textId="77777777" w:rsidR="00873EB1" w:rsidRPr="00F3706B" w:rsidRDefault="00873EB1" w:rsidP="00873EB1">
      <w:pPr>
        <w:pStyle w:val="NormalParagraph"/>
        <w:rPr>
          <w:lang w:eastAsia="en-US" w:bidi="bn-BD"/>
        </w:rPr>
      </w:pPr>
      <w:r w:rsidRPr="00F3706B">
        <w:rPr>
          <w:lang w:eastAsia="en-US" w:bidi="bn-BD"/>
        </w:rPr>
        <w:t>This mechanism for integrity protection secures the exchange of Diameter messages both end-to-end and hop-by-hop and can be characterised as follows:</w:t>
      </w:r>
    </w:p>
    <w:p w14:paraId="1D31214A" w14:textId="77777777" w:rsidR="00873EB1" w:rsidRPr="00F3706B" w:rsidRDefault="00873EB1" w:rsidP="008706AD">
      <w:pPr>
        <w:pStyle w:val="NormalParagraph"/>
        <w:numPr>
          <w:ilvl w:val="0"/>
          <w:numId w:val="29"/>
        </w:numPr>
        <w:rPr>
          <w:lang w:eastAsia="en-US" w:bidi="bn-BD"/>
        </w:rPr>
      </w:pPr>
      <w:r w:rsidRPr="00F3706B">
        <w:rPr>
          <w:rFonts w:ascii="Calibri" w:eastAsia="Times New Roman" w:hAnsi="Calibri" w:cs="Calibri"/>
          <w:color w:val="000000"/>
          <w:lang w:eastAsia="en-US"/>
        </w:rPr>
        <w:t xml:space="preserve">If </w:t>
      </w:r>
      <w:r w:rsidRPr="00F3706B">
        <w:rPr>
          <w:lang w:eastAsia="en-US" w:bidi="bn-BD"/>
        </w:rPr>
        <w:t>intermediate IPX providers don’t make mutations, then SP B is able to verify the contents of the message by means of the DESS_Digital_Signature on the basis of the AVP Origin-Realm as reference for SP A. SP B will be able to detect if a hacker has spoofed the Origin-Realm and/or manipulated the contents of the message.</w:t>
      </w:r>
    </w:p>
    <w:p w14:paraId="00D6C989" w14:textId="77777777" w:rsidR="00873EB1" w:rsidRPr="00F3706B" w:rsidRDefault="00873EB1" w:rsidP="008706AD">
      <w:pPr>
        <w:pStyle w:val="NormalParagraph"/>
        <w:numPr>
          <w:ilvl w:val="0"/>
          <w:numId w:val="29"/>
        </w:numPr>
        <w:rPr>
          <w:lang w:eastAsia="en-US" w:bidi="bn-BD"/>
        </w:rPr>
      </w:pPr>
      <w:r w:rsidRPr="00F3706B">
        <w:rPr>
          <w:lang w:eastAsia="en-US" w:bidi="bn-BD"/>
        </w:rPr>
        <w:t xml:space="preserve">In case an intermediate IPX provider makes changes to a message, then this IPX provider takes responsibility for SP B and needs to perform the same verifications as the item above, again signing the message and adding its </w:t>
      </w:r>
      <w:r w:rsidRPr="008706AD">
        <w:rPr>
          <w:lang w:eastAsia="en-US" w:bidi="bn-BD"/>
        </w:rPr>
        <w:t>DESS_Signing_Realm</w:t>
      </w:r>
      <w:r w:rsidRPr="00F3706B">
        <w:rPr>
          <w:lang w:eastAsia="en-US" w:bidi="bn-BD"/>
        </w:rPr>
        <w:t xml:space="preserve"> in the SIGNATURE AVP. However, the IPX provider is not allowed to change the AVP Origin-Realm. The receiving SP B will be able to detect if a hacker has spoofed the identity of the IPX provider and/or manipulated the contents of the message.</w:t>
      </w:r>
    </w:p>
    <w:p w14:paraId="4AFE4258" w14:textId="77777777" w:rsidR="00873EB1" w:rsidRPr="00F3706B" w:rsidRDefault="00873EB1" w:rsidP="008706AD">
      <w:pPr>
        <w:pStyle w:val="NormalParagraph"/>
        <w:numPr>
          <w:ilvl w:val="0"/>
          <w:numId w:val="29"/>
        </w:numPr>
        <w:rPr>
          <w:lang w:eastAsia="en-US" w:bidi="bn-BD"/>
        </w:rPr>
      </w:pPr>
      <w:r w:rsidRPr="00F3706B">
        <w:rPr>
          <w:lang w:eastAsia="en-US" w:bidi="bn-BD"/>
        </w:rPr>
        <w:t>A message may also be modified by a subsequent IPX provider using the signature of the preceding IPX provider that has modified the message. In principle there is no limitation of the number of intermediate IPX providers.</w:t>
      </w:r>
    </w:p>
    <w:p w14:paraId="1743FEF1" w14:textId="77777777" w:rsidR="00873EB1" w:rsidRPr="00F3706B" w:rsidRDefault="00873EB1" w:rsidP="008706AD">
      <w:pPr>
        <w:pStyle w:val="NormalParagraph"/>
        <w:numPr>
          <w:ilvl w:val="0"/>
          <w:numId w:val="29"/>
        </w:numPr>
        <w:rPr>
          <w:lang w:eastAsia="en-US" w:bidi="bn-BD"/>
        </w:rPr>
      </w:pPr>
      <w:r w:rsidRPr="00F3706B">
        <w:rPr>
          <w:lang w:eastAsia="en-US" w:bidi="bn-BD"/>
        </w:rPr>
        <w:t>As a result, the Origin-Host AVP has end-to-end significance and can be trusted by the receiving SP B as the sender of the original message provided that intermediate IPX providers perform the checks as above. As a result, the Origin-Host has again a similar meaning as the Calling GT in SS7.</w:t>
      </w:r>
    </w:p>
    <w:p w14:paraId="269821BE" w14:textId="77777777" w:rsidR="00873EB1" w:rsidRPr="00F3706B" w:rsidRDefault="00873EB1" w:rsidP="008706AD">
      <w:pPr>
        <w:pStyle w:val="NormalParagraph"/>
        <w:numPr>
          <w:ilvl w:val="0"/>
          <w:numId w:val="29"/>
        </w:numPr>
        <w:rPr>
          <w:lang w:eastAsia="en-US" w:bidi="bn-BD"/>
        </w:rPr>
      </w:pPr>
      <w:r w:rsidRPr="00F3706B">
        <w:rPr>
          <w:lang w:eastAsia="en-US" w:bidi="bn-BD"/>
        </w:rPr>
        <w:t>The receiving SP B is to make claims either direct by SP A (situation item 1) or by the preceding IPX provider (situations item 2 and item 3).</w:t>
      </w:r>
    </w:p>
    <w:p w14:paraId="355346B9" w14:textId="77777777" w:rsidR="00873EB1" w:rsidRPr="00F3706B" w:rsidRDefault="00873EB1" w:rsidP="008706AD">
      <w:pPr>
        <w:pStyle w:val="NormalParagraph"/>
        <w:numPr>
          <w:ilvl w:val="0"/>
          <w:numId w:val="29"/>
        </w:numPr>
        <w:rPr>
          <w:lang w:eastAsia="en-US" w:bidi="bn-BD"/>
        </w:rPr>
      </w:pPr>
      <w:r w:rsidRPr="00F3706B">
        <w:rPr>
          <w:lang w:eastAsia="en-US" w:bidi="bn-BD"/>
        </w:rPr>
        <w:t>Any manipulation of the message contents is verifiable and works:</w:t>
      </w:r>
    </w:p>
    <w:p w14:paraId="56CCF2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End-to-end between SP A and SP B (if there is no manipulating IPX provider)</w:t>
      </w:r>
    </w:p>
    <w:p w14:paraId="0F88F3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Hop-by-hop in between manipulating IPX providers (and end-to-end for the confidentiality protected AVPs inside the DESS_ENCRYPTED AVP).</w:t>
      </w:r>
    </w:p>
    <w:p w14:paraId="13FB3A2F" w14:textId="77777777" w:rsidR="00873EB1" w:rsidRPr="00F3706B" w:rsidRDefault="00873EB1" w:rsidP="00873EB1">
      <w:pPr>
        <w:pStyle w:val="ANNEX-heading2"/>
      </w:pPr>
      <w:bookmarkStart w:id="72" w:name="_Ref521601337"/>
      <w:bookmarkStart w:id="73" w:name="_Toc524553346"/>
      <w:bookmarkStart w:id="74" w:name="_Toc3993101"/>
      <w:r w:rsidRPr="00F3706B">
        <w:t>Load Distribution, Redundancy and Failover</w:t>
      </w:r>
      <w:bookmarkEnd w:id="72"/>
      <w:bookmarkEnd w:id="73"/>
      <w:bookmarkEnd w:id="74"/>
    </w:p>
    <w:p w14:paraId="27F3CA1C" w14:textId="20B354C2" w:rsidR="00873EB1" w:rsidRPr="00F3706B" w:rsidRDefault="00873EB1" w:rsidP="00873EB1">
      <w:pPr>
        <w:pStyle w:val="NormalParagraph"/>
        <w:rPr>
          <w:i/>
          <w:highlight w:val="yellow"/>
          <w:lang w:eastAsia="zh-CN" w:bidi="bn-BD"/>
        </w:rPr>
      </w:pPr>
      <w:r w:rsidRPr="00F3706B">
        <w:rPr>
          <w:i/>
          <w:highlight w:val="yellow"/>
          <w:lang w:eastAsia="zh-CN" w:bidi="bn-BD"/>
        </w:rPr>
        <w:t>The new section is to provide the Diameter specific guidelines in conju</w:t>
      </w:r>
      <w:r w:rsidR="00F3706B">
        <w:rPr>
          <w:i/>
          <w:highlight w:val="yellow"/>
          <w:lang w:eastAsia="zh-CN" w:bidi="bn-BD"/>
        </w:rPr>
        <w:t>n</w:t>
      </w:r>
      <w:r w:rsidRPr="00F3706B">
        <w:rPr>
          <w:i/>
          <w:highlight w:val="yellow"/>
          <w:lang w:eastAsia="zh-CN" w:bidi="bn-BD"/>
        </w:rPr>
        <w:t>ction with the general guidelines in FS.21 either by reference to 3GPP standards when adequately covered there, or if absent, by guidelines to be included in this GSMA document.</w:t>
      </w:r>
    </w:p>
    <w:p w14:paraId="4E9D4E04" w14:textId="77777777" w:rsidR="00873EB1" w:rsidRPr="00F3706B" w:rsidRDefault="00873EB1" w:rsidP="00873EB1">
      <w:pPr>
        <w:pStyle w:val="NormalParagraph"/>
        <w:rPr>
          <w:i/>
          <w:highlight w:val="yellow"/>
          <w:lang w:eastAsia="zh-CN" w:bidi="bn-BD"/>
        </w:rPr>
      </w:pPr>
      <w:r w:rsidRPr="00F3706B">
        <w:rPr>
          <w:i/>
          <w:highlight w:val="yellow"/>
          <w:lang w:eastAsia="zh-CN" w:bidi="bn-BD"/>
        </w:rPr>
        <w:t>With key management the use of a single key, like the procedures in S3-181937 describing the principle with 2 peering SEPPs, introduces the risk that with multiple SEPPs all interconnect points get compromised if this single key gets stolen. Alternatively, every relation between pairs of SEPPs needs to be allocated a unique set of keys which would introduce a cumbersome key management process.</w:t>
      </w:r>
    </w:p>
    <w:p w14:paraId="03C6D1FD" w14:textId="77777777" w:rsidR="00873EB1" w:rsidRPr="00F3706B" w:rsidRDefault="00873EB1" w:rsidP="00873EB1">
      <w:pPr>
        <w:pStyle w:val="NormalParagraph"/>
        <w:rPr>
          <w:i/>
          <w:highlight w:val="yellow"/>
          <w:lang w:eastAsia="zh-CN" w:bidi="bn-BD"/>
        </w:rPr>
      </w:pPr>
      <w:r w:rsidRPr="00F3706B">
        <w:rPr>
          <w:i/>
          <w:highlight w:val="yellow"/>
          <w:lang w:eastAsia="zh-CN" w:bidi="bn-BD"/>
        </w:rPr>
        <w:t>Imagine DTAG and Orange would like to deploy multiple SEPPs for their interconnect traffic. With today’s DEAs this is normal practice and whereby both carriers agree on a mechanism to have the traffic distributed across their edge nodes. Normally a single realm per carrier will do the job.</w:t>
      </w:r>
    </w:p>
    <w:p w14:paraId="7D7284EA"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consultation with SA3 members Stefan Schroeder and Anja Jerichow, it was clarified that SA3 did not discuss (yet) how key management would interwork with load distribution, redundancy and failover in situations with multiple SEPP pairs.</w:t>
      </w:r>
    </w:p>
    <w:p w14:paraId="2D61F314" w14:textId="77777777" w:rsidR="00873EB1" w:rsidRPr="00F3706B" w:rsidRDefault="00873EB1" w:rsidP="00873EB1">
      <w:pPr>
        <w:pStyle w:val="NormalParagraph"/>
        <w:rPr>
          <w:i/>
          <w:lang w:eastAsia="zh-CN" w:bidi="bn-BD"/>
        </w:rPr>
      </w:pPr>
      <w:r w:rsidRPr="00F3706B">
        <w:rPr>
          <w:i/>
          <w:highlight w:val="yellow"/>
          <w:lang w:eastAsia="zh-CN" w:bidi="bn-BD"/>
        </w:rPr>
        <w:t>It may be considered to apply similar principles as used for IPsec GWs: have multiple valid key sets at the same time. So you could invalidate some of them without breaking communication.</w:t>
      </w:r>
    </w:p>
    <w:p w14:paraId="011E1372" w14:textId="77777777" w:rsidR="00E36500" w:rsidRPr="00F3706B" w:rsidRDefault="00E36500" w:rsidP="00D93B90">
      <w:pPr>
        <w:pStyle w:val="NormalParagraph"/>
      </w:pPr>
    </w:p>
    <w:sectPr w:rsidR="00E36500" w:rsidRPr="00F3706B" w:rsidSect="00D027F4">
      <w:headerReference w:type="even" r:id="rId20"/>
      <w:headerReference w:type="default" r:id="rId21"/>
      <w:footerReference w:type="default" r:id="rId22"/>
      <w:pgSz w:w="11906" w:h="16838" w:code="9"/>
      <w:pgMar w:top="1440" w:right="1440" w:bottom="1282"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BDEBF" w14:textId="77777777" w:rsidR="001F57C2" w:rsidRDefault="001F57C2">
      <w:pPr>
        <w:spacing w:before="0"/>
      </w:pPr>
      <w:r>
        <w:separator/>
      </w:r>
    </w:p>
    <w:p w14:paraId="725D31E1" w14:textId="77777777" w:rsidR="001F57C2" w:rsidRDefault="001F57C2"/>
  </w:endnote>
  <w:endnote w:type="continuationSeparator" w:id="0">
    <w:p w14:paraId="11C2E244" w14:textId="77777777" w:rsidR="001F57C2" w:rsidRDefault="001F57C2">
      <w:pPr>
        <w:spacing w:before="0"/>
      </w:pPr>
      <w:r>
        <w:continuationSeparator/>
      </w:r>
    </w:p>
    <w:p w14:paraId="7C6F0A2A" w14:textId="77777777" w:rsidR="001F57C2" w:rsidRDefault="001F5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BBAE2" w14:textId="43E5E533" w:rsidR="00F84F56" w:rsidRDefault="00F84F56" w:rsidP="00A95E1E">
    <w:pPr>
      <w:pStyle w:val="Footer"/>
      <w:rPr>
        <w:i/>
      </w:rPr>
    </w:pPr>
    <w:r>
      <w:tab/>
      <w:t xml:space="preserve">Page </w:t>
    </w:r>
    <w:r>
      <w:fldChar w:fldCharType="begin"/>
    </w:r>
    <w:r>
      <w:instrText xml:space="preserve"> PAGE </w:instrText>
    </w:r>
    <w:r>
      <w:fldChar w:fldCharType="separate"/>
    </w:r>
    <w:r w:rsidR="00B315EF">
      <w:rPr>
        <w:noProof/>
      </w:rPr>
      <w:t>1</w:t>
    </w:r>
    <w:r>
      <w:fldChar w:fldCharType="end"/>
    </w:r>
    <w:r>
      <w:t xml:space="preserve"> of </w:t>
    </w:r>
    <w:r>
      <w:rPr>
        <w:noProof/>
      </w:rPr>
      <w:fldChar w:fldCharType="begin"/>
    </w:r>
    <w:r>
      <w:rPr>
        <w:noProof/>
      </w:rPr>
      <w:instrText xml:space="preserve"> NUMPAGES  </w:instrText>
    </w:r>
    <w:r>
      <w:rPr>
        <w:noProof/>
      </w:rPr>
      <w:fldChar w:fldCharType="separate"/>
    </w:r>
    <w:r w:rsidR="00B315EF">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D412A" w14:textId="77777777" w:rsidR="001F57C2" w:rsidRDefault="001F57C2" w:rsidP="009527C9">
      <w:pPr>
        <w:spacing w:before="0"/>
      </w:pPr>
      <w:r>
        <w:separator/>
      </w:r>
    </w:p>
  </w:footnote>
  <w:footnote w:type="continuationSeparator" w:id="0">
    <w:p w14:paraId="56662E1E" w14:textId="77777777" w:rsidR="001F57C2" w:rsidRDefault="001F57C2" w:rsidP="009527C9">
      <w:pPr>
        <w:spacing w:before="0"/>
      </w:pPr>
      <w:r>
        <w:continuationSeparator/>
      </w:r>
    </w:p>
  </w:footnote>
  <w:footnote w:type="continuationNotice" w:id="1">
    <w:p w14:paraId="1D9084FF" w14:textId="77777777" w:rsidR="001F57C2" w:rsidRDefault="001F57C2">
      <w:pPr>
        <w:spacing w:before="0"/>
      </w:pPr>
    </w:p>
  </w:footnote>
  <w:footnote w:id="2">
    <w:p w14:paraId="7EE6FA37" w14:textId="77777777" w:rsidR="00F84F56" w:rsidRPr="00112AA6" w:rsidRDefault="00F84F56" w:rsidP="00873EB1">
      <w:pPr>
        <w:pStyle w:val="FootnoteText"/>
        <w:rPr>
          <w:lang w:val="en-US"/>
        </w:rPr>
      </w:pPr>
      <w:r>
        <w:rPr>
          <w:rStyle w:val="FootnoteReference"/>
        </w:rPr>
        <w:footnoteRef/>
      </w:r>
      <w:r>
        <w:t xml:space="preserve"> </w:t>
      </w:r>
      <w:r w:rsidRPr="00AB6CAE">
        <w:rPr>
          <w:lang w:val="en-US"/>
        </w:rPr>
        <w:t xml:space="preserve">This is a challenge if </w:t>
      </w:r>
      <w:r>
        <w:rPr>
          <w:lang w:val="en-US"/>
        </w:rPr>
        <w:t>service provider</w:t>
      </w:r>
      <w:r w:rsidRPr="00AB6CAE">
        <w:rPr>
          <w:lang w:val="en-US"/>
        </w:rPr>
        <w:t xml:space="preserve"> 2 has more than one </w:t>
      </w:r>
      <w:r>
        <w:rPr>
          <w:lang w:val="en-US"/>
        </w:rPr>
        <w:t>IPX provider</w:t>
      </w:r>
      <w:r w:rsidRPr="00AB6CAE">
        <w:rPr>
          <w:lang w:val="en-US"/>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8AAE" w14:textId="77777777" w:rsidR="00F84F56" w:rsidRDefault="00F84F56" w:rsidP="00427F8A">
    <w:pPr>
      <w:pStyle w:val="NormalParagraph"/>
    </w:pPr>
  </w:p>
  <w:p w14:paraId="62070E26" w14:textId="77777777" w:rsidR="00F84F56" w:rsidRDefault="00F84F5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20064" w14:textId="534B5D85" w:rsidR="00F84F56" w:rsidRPr="00F04B04" w:rsidRDefault="00F84F56" w:rsidP="00A95E1E">
    <w:pPr>
      <w:pStyle w:val="Header"/>
    </w:pPr>
    <w:r>
      <w:t>GSM Association</w:t>
    </w:r>
    <w:r>
      <w:tab/>
    </w:r>
    <w:r w:rsidR="00510E88">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42A0"/>
    <w:multiLevelType w:val="hybridMultilevel"/>
    <w:tmpl w:val="13D07526"/>
    <w:lvl w:ilvl="0" w:tplc="B1CA49EE">
      <w:start w:val="1"/>
      <w:numFmt w:val="decimal"/>
      <w:lvlText w:val="%1."/>
      <w:lvlJc w:val="left"/>
      <w:pPr>
        <w:ind w:left="720" w:hanging="360"/>
      </w:pPr>
      <w:rPr>
        <w:rFonts w:ascii="Arial" w:hAnsi="Arial" w:hint="default"/>
        <w:b w:val="0"/>
        <w:i w:val="0"/>
        <w:sz w:val="22"/>
      </w:rPr>
    </w:lvl>
    <w:lvl w:ilvl="1" w:tplc="04090001">
      <w:start w:val="1"/>
      <w:numFmt w:val="bullet"/>
      <w:lvlText w:val=""/>
      <w:lvlJc w:val="left"/>
      <w:pPr>
        <w:ind w:left="777" w:hanging="360"/>
      </w:pPr>
      <w:rPr>
        <w:rFonts w:ascii="Symbol" w:hAnsi="Symbol" w:hint="default"/>
        <w:b w:val="0"/>
        <w:i w:val="0"/>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915B9"/>
    <w:multiLevelType w:val="multilevel"/>
    <w:tmpl w:val="26087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7CD7227"/>
    <w:multiLevelType w:val="hybridMultilevel"/>
    <w:tmpl w:val="E87ECA0E"/>
    <w:lvl w:ilvl="0" w:tplc="14C4FF5A">
      <w:start w:val="1"/>
      <w:numFmt w:val="bullet"/>
      <w:pStyle w:val="Litbullet1"/>
      <w:lvlText w:val=""/>
      <w:lvlJc w:val="left"/>
      <w:pPr>
        <w:ind w:left="1712" w:hanging="425"/>
      </w:pPr>
      <w:rPr>
        <w:rFonts w:ascii="Wingdings" w:hAnsi="Wingding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FED23AD"/>
    <w:multiLevelType w:val="hybridMultilevel"/>
    <w:tmpl w:val="C46A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4606A37"/>
    <w:multiLevelType w:val="hybridMultilevel"/>
    <w:tmpl w:val="29A2B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DA4B3D"/>
    <w:multiLevelType w:val="hybridMultilevel"/>
    <w:tmpl w:val="5E74ED16"/>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E77655"/>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C11EEF"/>
    <w:multiLevelType w:val="hybridMultilevel"/>
    <w:tmpl w:val="F0C4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03E55"/>
    <w:multiLevelType w:val="hybridMultilevel"/>
    <w:tmpl w:val="84DC6550"/>
    <w:lvl w:ilvl="0" w:tplc="424CB9E2">
      <w:start w:val="1"/>
      <w:numFmt w:val="bullet"/>
      <w:pStyle w:val="TableBulletText3"/>
      <w:lvlText w:val=""/>
      <w:lvlJc w:val="left"/>
      <w:pPr>
        <w:ind w:left="1267" w:hanging="360"/>
      </w:pPr>
      <w:rPr>
        <w:rFonts w:ascii="Wingdings" w:hAnsi="Wingdings"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203"/>
        </w:tabs>
        <w:ind w:left="2203" w:hanging="360"/>
      </w:p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BB673C9"/>
    <w:multiLevelType w:val="hybridMultilevel"/>
    <w:tmpl w:val="77F09EF4"/>
    <w:lvl w:ilvl="0" w:tplc="B1CA49EE">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A4878"/>
    <w:multiLevelType w:val="multilevel"/>
    <w:tmpl w:val="7B2CD562"/>
    <w:numStyleLink w:val="ListNumbers"/>
  </w:abstractNum>
  <w:abstractNum w:abstractNumId="20"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1D121FB"/>
    <w:multiLevelType w:val="multilevel"/>
    <w:tmpl w:val="51385DC4"/>
    <w:lvl w:ilvl="0">
      <w:start w:val="2"/>
      <w:numFmt w:val="decimal"/>
      <w:lvlRestart w:val="0"/>
      <w:pStyle w:val="numitem"/>
      <w:lvlText w:val="%1."/>
      <w:lvlJc w:val="right"/>
      <w:pPr>
        <w:tabs>
          <w:tab w:val="num" w:pos="550"/>
        </w:tabs>
        <w:ind w:left="777" w:hanging="57"/>
      </w:pPr>
      <w:rPr>
        <w:rFonts w:hint="default"/>
      </w:rPr>
    </w:lvl>
    <w:lvl w:ilvl="1">
      <w:start w:val="1"/>
      <w:numFmt w:val="lowerLetter"/>
      <w:lvlText w:val="(%2)"/>
      <w:lvlJc w:val="left"/>
      <w:pPr>
        <w:tabs>
          <w:tab w:val="num" w:pos="1230"/>
        </w:tabs>
        <w:ind w:left="1230" w:hanging="283"/>
      </w:pPr>
      <w:rPr>
        <w:rFonts w:hint="default"/>
      </w:rPr>
    </w:lvl>
    <w:lvl w:ilvl="2">
      <w:start w:val="1"/>
      <w:numFmt w:val="lowerRoman"/>
      <w:lvlText w:val="(%3)"/>
      <w:lvlJc w:val="left"/>
      <w:pPr>
        <w:tabs>
          <w:tab w:val="num" w:pos="1570"/>
        </w:tabs>
        <w:ind w:left="1570" w:hanging="340"/>
      </w:pPr>
      <w:rPr>
        <w:rFonts w:hint="default"/>
      </w:rPr>
    </w:lvl>
    <w:lvl w:ilvl="3">
      <w:start w:val="1"/>
      <w:numFmt w:val="decimal"/>
      <w:lvlText w:val="(%4)"/>
      <w:lvlJc w:val="left"/>
      <w:pPr>
        <w:tabs>
          <w:tab w:val="num" w:pos="1911"/>
        </w:tabs>
        <w:ind w:left="1911" w:hanging="341"/>
      </w:pPr>
      <w:rPr>
        <w:rFonts w:hint="default"/>
      </w:rPr>
    </w:lvl>
    <w:lvl w:ilvl="4">
      <w:start w:val="1"/>
      <w:numFmt w:val="lowerLetter"/>
      <w:lvlText w:val="(%5)"/>
      <w:lvlJc w:val="left"/>
      <w:pPr>
        <w:tabs>
          <w:tab w:val="num" w:pos="2194"/>
        </w:tabs>
        <w:ind w:left="2194" w:hanging="283"/>
      </w:pPr>
      <w:rPr>
        <w:rFonts w:hint="default"/>
      </w:rPr>
    </w:lvl>
    <w:lvl w:ilvl="5">
      <w:start w:val="1"/>
      <w:numFmt w:val="lowerRoman"/>
      <w:lvlText w:val="(%6)"/>
      <w:lvlJc w:val="left"/>
      <w:pPr>
        <w:tabs>
          <w:tab w:val="num" w:pos="2534"/>
        </w:tabs>
        <w:ind w:left="2534" w:hanging="340"/>
      </w:pPr>
      <w:rPr>
        <w:rFonts w:hint="default"/>
      </w:rPr>
    </w:lvl>
    <w:lvl w:ilvl="6">
      <w:start w:val="1"/>
      <w:numFmt w:val="decimal"/>
      <w:lvlText w:val="%7."/>
      <w:lvlJc w:val="left"/>
      <w:pPr>
        <w:tabs>
          <w:tab w:val="num" w:pos="2874"/>
        </w:tabs>
        <w:ind w:left="2874" w:hanging="340"/>
      </w:pPr>
      <w:rPr>
        <w:rFonts w:hint="default"/>
      </w:rPr>
    </w:lvl>
    <w:lvl w:ilvl="7">
      <w:start w:val="1"/>
      <w:numFmt w:val="lowerLetter"/>
      <w:lvlText w:val="%8."/>
      <w:lvlJc w:val="left"/>
      <w:pPr>
        <w:tabs>
          <w:tab w:val="num" w:pos="3101"/>
        </w:tabs>
        <w:ind w:left="3101" w:hanging="227"/>
      </w:pPr>
      <w:rPr>
        <w:rFonts w:hint="default"/>
      </w:rPr>
    </w:lvl>
    <w:lvl w:ilvl="8">
      <w:start w:val="1"/>
      <w:numFmt w:val="lowerRoman"/>
      <w:lvlText w:val="%9."/>
      <w:lvlJc w:val="left"/>
      <w:pPr>
        <w:tabs>
          <w:tab w:val="num" w:pos="3441"/>
        </w:tabs>
        <w:ind w:left="3441" w:hanging="340"/>
      </w:pPr>
      <w:rPr>
        <w:rFonts w:hint="default"/>
      </w:rPr>
    </w:lvl>
  </w:abstractNum>
  <w:abstractNum w:abstractNumId="22" w15:restartNumberingAfterBreak="0">
    <w:nsid w:val="504407B3"/>
    <w:multiLevelType w:val="hybridMultilevel"/>
    <w:tmpl w:val="05F4C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21A8B5EA"/>
    <w:lvl w:ilvl="0">
      <w:start w:val="4"/>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C6D7327"/>
    <w:multiLevelType w:val="hybridMultilevel"/>
    <w:tmpl w:val="DF649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C31303"/>
    <w:multiLevelType w:val="hybridMultilevel"/>
    <w:tmpl w:val="064C14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70DB490A"/>
    <w:multiLevelType w:val="hybridMultilevel"/>
    <w:tmpl w:val="6C0EE26A"/>
    <w:lvl w:ilvl="0" w:tplc="0409000F">
      <w:start w:val="1"/>
      <w:numFmt w:val="decimal"/>
      <w:lvlText w:val="%1."/>
      <w:lvlJc w:val="left"/>
      <w:pPr>
        <w:ind w:left="783" w:hanging="360"/>
      </w:pPr>
      <w:rPr>
        <w:rFonts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78035538"/>
    <w:multiLevelType w:val="hybridMultilevel"/>
    <w:tmpl w:val="3BD4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92D44"/>
    <w:multiLevelType w:val="hybridMultilevel"/>
    <w:tmpl w:val="213EB0E8"/>
    <w:lvl w:ilvl="0" w:tplc="657EF89E">
      <w:start w:val="1"/>
      <w:numFmt w:val="bullet"/>
      <w:pStyle w:val="AOBulletL1NGINFSDtemplatelistlevel1"/>
      <w:lvlText w:val=""/>
      <w:lvlJc w:val="left"/>
      <w:pPr>
        <w:ind w:left="720" w:hanging="360"/>
      </w:pPr>
      <w:rPr>
        <w:rFonts w:ascii="Symbol" w:hAnsi="Symbol" w:hint="default"/>
      </w:rPr>
    </w:lvl>
    <w:lvl w:ilvl="1" w:tplc="4D5AC5D0">
      <w:start w:val="1"/>
      <w:numFmt w:val="bullet"/>
      <w:pStyle w:val="AOBulletL2NGINFSDtemplatelistlevel2"/>
      <w:lvlText w:val="o"/>
      <w:lvlJc w:val="left"/>
      <w:pPr>
        <w:ind w:left="1440" w:hanging="360"/>
      </w:pPr>
      <w:rPr>
        <w:rFonts w:ascii="Courier New" w:hAnsi="Courier New" w:cs="Courier New" w:hint="default"/>
      </w:rPr>
    </w:lvl>
    <w:lvl w:ilvl="2" w:tplc="414A38FA">
      <w:start w:val="1"/>
      <w:numFmt w:val="bullet"/>
      <w:lvlText w:val=""/>
      <w:lvlJc w:val="left"/>
      <w:pPr>
        <w:ind w:left="2160" w:hanging="360"/>
      </w:pPr>
      <w:rPr>
        <w:rFonts w:ascii="Wingdings" w:hAnsi="Wingdings" w:hint="default"/>
      </w:rPr>
    </w:lvl>
    <w:lvl w:ilvl="3" w:tplc="41D4F47A">
      <w:start w:val="1"/>
      <w:numFmt w:val="bullet"/>
      <w:lvlText w:val=""/>
      <w:lvlJc w:val="left"/>
      <w:pPr>
        <w:ind w:left="2880" w:hanging="360"/>
      </w:pPr>
      <w:rPr>
        <w:rFonts w:ascii="Symbol" w:hAnsi="Symbol" w:hint="default"/>
      </w:rPr>
    </w:lvl>
    <w:lvl w:ilvl="4" w:tplc="AC8E4962">
      <w:start w:val="1"/>
      <w:numFmt w:val="bullet"/>
      <w:lvlText w:val="o"/>
      <w:lvlJc w:val="left"/>
      <w:pPr>
        <w:ind w:left="3600" w:hanging="360"/>
      </w:pPr>
      <w:rPr>
        <w:rFonts w:ascii="Courier New" w:hAnsi="Courier New" w:cs="Courier New" w:hint="default"/>
      </w:rPr>
    </w:lvl>
    <w:lvl w:ilvl="5" w:tplc="873A4604">
      <w:start w:val="1"/>
      <w:numFmt w:val="bullet"/>
      <w:pStyle w:val="AOBulletL4NGINFSDtemplatelistlevel4"/>
      <w:lvlText w:val=""/>
      <w:lvlJc w:val="left"/>
      <w:pPr>
        <w:ind w:left="4320" w:hanging="360"/>
      </w:pPr>
      <w:rPr>
        <w:rFonts w:ascii="Wingdings" w:hAnsi="Wingdings" w:hint="default"/>
      </w:rPr>
    </w:lvl>
    <w:lvl w:ilvl="6" w:tplc="768AF7DE">
      <w:start w:val="1"/>
      <w:numFmt w:val="bullet"/>
      <w:pStyle w:val="AOBulletL5NGINFSDtemplatelistlevel5"/>
      <w:lvlText w:val="▫"/>
      <w:lvlJc w:val="left"/>
      <w:pPr>
        <w:ind w:left="5040" w:hanging="360"/>
      </w:pPr>
      <w:rPr>
        <w:rFonts w:ascii="Courier New" w:hAnsi="Courier New" w:hint="default"/>
      </w:rPr>
    </w:lvl>
    <w:lvl w:ilvl="7" w:tplc="9EF6B5EE" w:tentative="1">
      <w:start w:val="1"/>
      <w:numFmt w:val="bullet"/>
      <w:lvlText w:val="o"/>
      <w:lvlJc w:val="left"/>
      <w:pPr>
        <w:ind w:left="5760" w:hanging="360"/>
      </w:pPr>
      <w:rPr>
        <w:rFonts w:ascii="Courier New" w:hAnsi="Courier New" w:cs="Courier New" w:hint="default"/>
      </w:rPr>
    </w:lvl>
    <w:lvl w:ilvl="8" w:tplc="0CEADA5A" w:tentative="1">
      <w:start w:val="1"/>
      <w:numFmt w:val="bullet"/>
      <w:lvlText w:val=""/>
      <w:lvlJc w:val="left"/>
      <w:pPr>
        <w:ind w:left="6480" w:hanging="360"/>
      </w:pPr>
      <w:rPr>
        <w:rFonts w:ascii="Wingdings" w:hAnsi="Wingdings" w:hint="default"/>
      </w:rPr>
    </w:lvl>
  </w:abstractNum>
  <w:abstractNum w:abstractNumId="34" w15:restartNumberingAfterBreak="0">
    <w:nsid w:val="7C447FF7"/>
    <w:multiLevelType w:val="hybridMultilevel"/>
    <w:tmpl w:val="813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8"/>
  </w:num>
  <w:num w:numId="4">
    <w:abstractNumId w:val="1"/>
  </w:num>
  <w:num w:numId="5">
    <w:abstractNumId w:val="16"/>
  </w:num>
  <w:num w:numId="6">
    <w:abstractNumId w:val="18"/>
  </w:num>
  <w:num w:numId="7">
    <w:abstractNumId w:val="26"/>
  </w:num>
  <w:num w:numId="8">
    <w:abstractNumId w:val="23"/>
  </w:num>
  <w:num w:numId="9">
    <w:abstractNumId w:val="10"/>
  </w:num>
  <w:num w:numId="10">
    <w:abstractNumId w:val="6"/>
  </w:num>
  <w:num w:numId="11">
    <w:abstractNumId w:val="19"/>
  </w:num>
  <w:num w:numId="12">
    <w:abstractNumId w:val="27"/>
  </w:num>
  <w:num w:numId="13">
    <w:abstractNumId w:val="25"/>
  </w:num>
  <w:num w:numId="14">
    <w:abstractNumId w:val="34"/>
  </w:num>
  <w:num w:numId="15">
    <w:abstractNumId w:val="22"/>
  </w:num>
  <w:num w:numId="16">
    <w:abstractNumId w:val="0"/>
  </w:num>
  <w:num w:numId="17">
    <w:abstractNumId w:val="20"/>
  </w:num>
  <w:num w:numId="18">
    <w:abstractNumId w:val="15"/>
  </w:num>
  <w:num w:numId="19">
    <w:abstractNumId w:val="4"/>
  </w:num>
  <w:num w:numId="20">
    <w:abstractNumId w:val="21"/>
  </w:num>
  <w:num w:numId="21">
    <w:abstractNumId w:val="24"/>
  </w:num>
  <w:num w:numId="22">
    <w:abstractNumId w:val="33"/>
  </w:num>
  <w:num w:numId="23">
    <w:abstractNumId w:val="13"/>
  </w:num>
  <w:num w:numId="24">
    <w:abstractNumId w:val="9"/>
  </w:num>
  <w:num w:numId="25">
    <w:abstractNumId w:val="11"/>
  </w:num>
  <w:num w:numId="26">
    <w:abstractNumId w:val="31"/>
  </w:num>
  <w:num w:numId="27">
    <w:abstractNumId w:val="29"/>
  </w:num>
  <w:num w:numId="28">
    <w:abstractNumId w:val="30"/>
  </w:num>
  <w:num w:numId="29">
    <w:abstractNumId w:val="2"/>
  </w:num>
  <w:num w:numId="30">
    <w:abstractNumId w:val="17"/>
  </w:num>
  <w:num w:numId="31">
    <w:abstractNumId w:val="32"/>
  </w:num>
  <w:num w:numId="32">
    <w:abstractNumId w:val="12"/>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A0"/>
    <w:rsid w:val="00002803"/>
    <w:rsid w:val="00002864"/>
    <w:rsid w:val="000029DD"/>
    <w:rsid w:val="00002E89"/>
    <w:rsid w:val="0001024B"/>
    <w:rsid w:val="00010336"/>
    <w:rsid w:val="00026ED9"/>
    <w:rsid w:val="0003298E"/>
    <w:rsid w:val="00041759"/>
    <w:rsid w:val="00046D01"/>
    <w:rsid w:val="00052FE2"/>
    <w:rsid w:val="000607ED"/>
    <w:rsid w:val="000713B1"/>
    <w:rsid w:val="00076BDF"/>
    <w:rsid w:val="000774DD"/>
    <w:rsid w:val="000A0FB0"/>
    <w:rsid w:val="000B02F8"/>
    <w:rsid w:val="000C2841"/>
    <w:rsid w:val="000D13B4"/>
    <w:rsid w:val="000D20CB"/>
    <w:rsid w:val="000E2366"/>
    <w:rsid w:val="000E6BB7"/>
    <w:rsid w:val="000F6B8B"/>
    <w:rsid w:val="0010050B"/>
    <w:rsid w:val="001010C7"/>
    <w:rsid w:val="001345C8"/>
    <w:rsid w:val="00141190"/>
    <w:rsid w:val="001455A2"/>
    <w:rsid w:val="00163998"/>
    <w:rsid w:val="00165872"/>
    <w:rsid w:val="00176186"/>
    <w:rsid w:val="0018002B"/>
    <w:rsid w:val="001940FF"/>
    <w:rsid w:val="001B02D2"/>
    <w:rsid w:val="001D53CF"/>
    <w:rsid w:val="001F08AC"/>
    <w:rsid w:val="001F2D3A"/>
    <w:rsid w:val="001F57C2"/>
    <w:rsid w:val="00202265"/>
    <w:rsid w:val="002027AF"/>
    <w:rsid w:val="00207D34"/>
    <w:rsid w:val="002111D3"/>
    <w:rsid w:val="002200A1"/>
    <w:rsid w:val="0022220E"/>
    <w:rsid w:val="0023227F"/>
    <w:rsid w:val="00233E20"/>
    <w:rsid w:val="00243007"/>
    <w:rsid w:val="00243CE1"/>
    <w:rsid w:val="00247B28"/>
    <w:rsid w:val="00254E4D"/>
    <w:rsid w:val="002766F0"/>
    <w:rsid w:val="00283857"/>
    <w:rsid w:val="002859F6"/>
    <w:rsid w:val="002873C5"/>
    <w:rsid w:val="00294E91"/>
    <w:rsid w:val="00294F1F"/>
    <w:rsid w:val="002A7CAD"/>
    <w:rsid w:val="002C0FEF"/>
    <w:rsid w:val="002F4B26"/>
    <w:rsid w:val="002F7DBE"/>
    <w:rsid w:val="00331905"/>
    <w:rsid w:val="00331D6B"/>
    <w:rsid w:val="0034268E"/>
    <w:rsid w:val="003426AC"/>
    <w:rsid w:val="003549D3"/>
    <w:rsid w:val="00360ED9"/>
    <w:rsid w:val="00361471"/>
    <w:rsid w:val="00373FBC"/>
    <w:rsid w:val="00376BF3"/>
    <w:rsid w:val="00383ADA"/>
    <w:rsid w:val="00397B86"/>
    <w:rsid w:val="003A0DA5"/>
    <w:rsid w:val="003A310F"/>
    <w:rsid w:val="003A3B36"/>
    <w:rsid w:val="003A7591"/>
    <w:rsid w:val="003A7D25"/>
    <w:rsid w:val="003B164B"/>
    <w:rsid w:val="003C2043"/>
    <w:rsid w:val="003D0069"/>
    <w:rsid w:val="003D0CD1"/>
    <w:rsid w:val="003D4034"/>
    <w:rsid w:val="003E2F0B"/>
    <w:rsid w:val="003E4579"/>
    <w:rsid w:val="003F4D31"/>
    <w:rsid w:val="00406873"/>
    <w:rsid w:val="00417276"/>
    <w:rsid w:val="00420FBC"/>
    <w:rsid w:val="00427F8A"/>
    <w:rsid w:val="00440119"/>
    <w:rsid w:val="004405DA"/>
    <w:rsid w:val="0044325C"/>
    <w:rsid w:val="00446532"/>
    <w:rsid w:val="00476E46"/>
    <w:rsid w:val="00477CD5"/>
    <w:rsid w:val="00481653"/>
    <w:rsid w:val="0048776D"/>
    <w:rsid w:val="004A2765"/>
    <w:rsid w:val="004B1958"/>
    <w:rsid w:val="004B7801"/>
    <w:rsid w:val="004C114A"/>
    <w:rsid w:val="004E5235"/>
    <w:rsid w:val="004E62A8"/>
    <w:rsid w:val="004F4891"/>
    <w:rsid w:val="00504394"/>
    <w:rsid w:val="00510B3F"/>
    <w:rsid w:val="00510E88"/>
    <w:rsid w:val="00511DAC"/>
    <w:rsid w:val="00515A23"/>
    <w:rsid w:val="00525783"/>
    <w:rsid w:val="00531443"/>
    <w:rsid w:val="00542D36"/>
    <w:rsid w:val="00551AB7"/>
    <w:rsid w:val="00553839"/>
    <w:rsid w:val="00554E35"/>
    <w:rsid w:val="005572A0"/>
    <w:rsid w:val="0056049E"/>
    <w:rsid w:val="00564D22"/>
    <w:rsid w:val="005840AA"/>
    <w:rsid w:val="00584B29"/>
    <w:rsid w:val="00585714"/>
    <w:rsid w:val="005942AF"/>
    <w:rsid w:val="005A1013"/>
    <w:rsid w:val="005A675F"/>
    <w:rsid w:val="005B0278"/>
    <w:rsid w:val="005E10AA"/>
    <w:rsid w:val="00606293"/>
    <w:rsid w:val="00611B6E"/>
    <w:rsid w:val="006204FC"/>
    <w:rsid w:val="00640911"/>
    <w:rsid w:val="00642A24"/>
    <w:rsid w:val="00642D43"/>
    <w:rsid w:val="00644221"/>
    <w:rsid w:val="006618AE"/>
    <w:rsid w:val="00666EEC"/>
    <w:rsid w:val="006A01A9"/>
    <w:rsid w:val="006A3A08"/>
    <w:rsid w:val="006C3E00"/>
    <w:rsid w:val="006D67B8"/>
    <w:rsid w:val="006E00A2"/>
    <w:rsid w:val="006E03E2"/>
    <w:rsid w:val="006E5FA5"/>
    <w:rsid w:val="00721B63"/>
    <w:rsid w:val="007261E1"/>
    <w:rsid w:val="00726CF1"/>
    <w:rsid w:val="0075588E"/>
    <w:rsid w:val="0077289D"/>
    <w:rsid w:val="00797566"/>
    <w:rsid w:val="007A3167"/>
    <w:rsid w:val="007A4853"/>
    <w:rsid w:val="007B31FE"/>
    <w:rsid w:val="007F0330"/>
    <w:rsid w:val="00811362"/>
    <w:rsid w:val="00811E95"/>
    <w:rsid w:val="00811EAB"/>
    <w:rsid w:val="00817A76"/>
    <w:rsid w:val="00824D1D"/>
    <w:rsid w:val="00831655"/>
    <w:rsid w:val="00840DE4"/>
    <w:rsid w:val="008418DE"/>
    <w:rsid w:val="00854B5B"/>
    <w:rsid w:val="008706AD"/>
    <w:rsid w:val="00871A1B"/>
    <w:rsid w:val="00873AD5"/>
    <w:rsid w:val="00873EB1"/>
    <w:rsid w:val="00875B0B"/>
    <w:rsid w:val="00883C62"/>
    <w:rsid w:val="0089207D"/>
    <w:rsid w:val="00893BBE"/>
    <w:rsid w:val="008A6670"/>
    <w:rsid w:val="008B643F"/>
    <w:rsid w:val="008C1B2C"/>
    <w:rsid w:val="008C2C00"/>
    <w:rsid w:val="008C4F3B"/>
    <w:rsid w:val="008D444D"/>
    <w:rsid w:val="0091226B"/>
    <w:rsid w:val="009177CC"/>
    <w:rsid w:val="00925B3D"/>
    <w:rsid w:val="00944378"/>
    <w:rsid w:val="009527C9"/>
    <w:rsid w:val="00955DF7"/>
    <w:rsid w:val="00956C19"/>
    <w:rsid w:val="00960027"/>
    <w:rsid w:val="00974C3F"/>
    <w:rsid w:val="00982C92"/>
    <w:rsid w:val="0098351C"/>
    <w:rsid w:val="009968FB"/>
    <w:rsid w:val="009C218E"/>
    <w:rsid w:val="009C4875"/>
    <w:rsid w:val="009E2799"/>
    <w:rsid w:val="009F5A7D"/>
    <w:rsid w:val="00A01934"/>
    <w:rsid w:val="00A06DF1"/>
    <w:rsid w:val="00A315A9"/>
    <w:rsid w:val="00A34164"/>
    <w:rsid w:val="00A50E7A"/>
    <w:rsid w:val="00A52E21"/>
    <w:rsid w:val="00A66939"/>
    <w:rsid w:val="00A74628"/>
    <w:rsid w:val="00A777F1"/>
    <w:rsid w:val="00A91734"/>
    <w:rsid w:val="00A95E1E"/>
    <w:rsid w:val="00A95FF2"/>
    <w:rsid w:val="00AA4C56"/>
    <w:rsid w:val="00AB2D1B"/>
    <w:rsid w:val="00AB695F"/>
    <w:rsid w:val="00AC2254"/>
    <w:rsid w:val="00AC2FCC"/>
    <w:rsid w:val="00AD22EA"/>
    <w:rsid w:val="00AD7636"/>
    <w:rsid w:val="00AE7C34"/>
    <w:rsid w:val="00AF4FB4"/>
    <w:rsid w:val="00B22FE8"/>
    <w:rsid w:val="00B2432E"/>
    <w:rsid w:val="00B315EF"/>
    <w:rsid w:val="00B31C7D"/>
    <w:rsid w:val="00B4251D"/>
    <w:rsid w:val="00B427B5"/>
    <w:rsid w:val="00B4548C"/>
    <w:rsid w:val="00B53A89"/>
    <w:rsid w:val="00B6305A"/>
    <w:rsid w:val="00B65662"/>
    <w:rsid w:val="00B673FE"/>
    <w:rsid w:val="00B82FEE"/>
    <w:rsid w:val="00B8382B"/>
    <w:rsid w:val="00BA4D57"/>
    <w:rsid w:val="00BA7BD4"/>
    <w:rsid w:val="00BB12B8"/>
    <w:rsid w:val="00BB5F46"/>
    <w:rsid w:val="00BC0319"/>
    <w:rsid w:val="00BD7276"/>
    <w:rsid w:val="00C13782"/>
    <w:rsid w:val="00C21179"/>
    <w:rsid w:val="00C213B4"/>
    <w:rsid w:val="00C24EEC"/>
    <w:rsid w:val="00C25E2B"/>
    <w:rsid w:val="00C30152"/>
    <w:rsid w:val="00C455AF"/>
    <w:rsid w:val="00C5378E"/>
    <w:rsid w:val="00C6177A"/>
    <w:rsid w:val="00C73250"/>
    <w:rsid w:val="00C82208"/>
    <w:rsid w:val="00C83C23"/>
    <w:rsid w:val="00C93769"/>
    <w:rsid w:val="00CA563E"/>
    <w:rsid w:val="00CB219E"/>
    <w:rsid w:val="00CB4912"/>
    <w:rsid w:val="00CB59E8"/>
    <w:rsid w:val="00CC667C"/>
    <w:rsid w:val="00CE1C2A"/>
    <w:rsid w:val="00CE4204"/>
    <w:rsid w:val="00CF716A"/>
    <w:rsid w:val="00CF7A51"/>
    <w:rsid w:val="00D027F4"/>
    <w:rsid w:val="00D031EE"/>
    <w:rsid w:val="00D32793"/>
    <w:rsid w:val="00D34853"/>
    <w:rsid w:val="00D40683"/>
    <w:rsid w:val="00D406CB"/>
    <w:rsid w:val="00D430E2"/>
    <w:rsid w:val="00D55883"/>
    <w:rsid w:val="00D64A0E"/>
    <w:rsid w:val="00D7048E"/>
    <w:rsid w:val="00D75061"/>
    <w:rsid w:val="00D77C8B"/>
    <w:rsid w:val="00D84468"/>
    <w:rsid w:val="00D93B90"/>
    <w:rsid w:val="00DA7467"/>
    <w:rsid w:val="00DB28F3"/>
    <w:rsid w:val="00DC5B89"/>
    <w:rsid w:val="00DD490F"/>
    <w:rsid w:val="00DE1719"/>
    <w:rsid w:val="00DE5A07"/>
    <w:rsid w:val="00DF6CBC"/>
    <w:rsid w:val="00E03392"/>
    <w:rsid w:val="00E14ABA"/>
    <w:rsid w:val="00E16BAF"/>
    <w:rsid w:val="00E21141"/>
    <w:rsid w:val="00E34134"/>
    <w:rsid w:val="00E36118"/>
    <w:rsid w:val="00E36500"/>
    <w:rsid w:val="00E376E1"/>
    <w:rsid w:val="00E420BE"/>
    <w:rsid w:val="00E5129B"/>
    <w:rsid w:val="00E57461"/>
    <w:rsid w:val="00E72D86"/>
    <w:rsid w:val="00E7347D"/>
    <w:rsid w:val="00E7772A"/>
    <w:rsid w:val="00E77B57"/>
    <w:rsid w:val="00EA332A"/>
    <w:rsid w:val="00EA6655"/>
    <w:rsid w:val="00EB6459"/>
    <w:rsid w:val="00EC1C5A"/>
    <w:rsid w:val="00ED0002"/>
    <w:rsid w:val="00ED446A"/>
    <w:rsid w:val="00EE6C6A"/>
    <w:rsid w:val="00F046D7"/>
    <w:rsid w:val="00F07415"/>
    <w:rsid w:val="00F14715"/>
    <w:rsid w:val="00F160A0"/>
    <w:rsid w:val="00F2536F"/>
    <w:rsid w:val="00F30187"/>
    <w:rsid w:val="00F308D9"/>
    <w:rsid w:val="00F33D50"/>
    <w:rsid w:val="00F3706B"/>
    <w:rsid w:val="00F476CB"/>
    <w:rsid w:val="00F63C58"/>
    <w:rsid w:val="00F8395D"/>
    <w:rsid w:val="00F84F56"/>
    <w:rsid w:val="00F86362"/>
    <w:rsid w:val="00F924C0"/>
    <w:rsid w:val="00F93881"/>
    <w:rsid w:val="00FB18EF"/>
    <w:rsid w:val="00FD2F3B"/>
    <w:rsid w:val="00FD5E5D"/>
    <w:rsid w:val="00FD6383"/>
    <w:rsid w:val="00FD64D8"/>
    <w:rsid w:val="00FE2194"/>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7EE0F"/>
  <w15:docId w15:val="{BC0A674F-584E-4A24-BF5D-CD696D4E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qFormat/>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customStyle="1" w:styleId="ilfuvd">
    <w:name w:val="ilfuvd"/>
    <w:basedOn w:val="DefaultParagraphFont"/>
    <w:rsid w:val="00840DE4"/>
  </w:style>
  <w:style w:type="paragraph" w:styleId="NormalWeb">
    <w:name w:val="Normal (Web)"/>
    <w:basedOn w:val="Normal"/>
    <w:uiPriority w:val="99"/>
    <w:unhideWhenUsed/>
    <w:rsid w:val="00233E20"/>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Revision">
    <w:name w:val="Revision"/>
    <w:hidden/>
    <w:uiPriority w:val="99"/>
    <w:semiHidden/>
    <w:rsid w:val="00893BBE"/>
    <w:rPr>
      <w:rFonts w:ascii="Arial" w:eastAsia="SimSun" w:hAnsi="Arial"/>
      <w:sz w:val="22"/>
      <w:lang w:eastAsia="zh-CN" w:bidi="bn-BD"/>
    </w:rPr>
  </w:style>
  <w:style w:type="paragraph" w:customStyle="1" w:styleId="Legalclauselevel1">
    <w:name w:val="Legal clause level 1"/>
    <w:uiPriority w:val="30"/>
    <w:qFormat/>
    <w:rsid w:val="00873EB1"/>
    <w:pPr>
      <w:numPr>
        <w:numId w:val="1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pPr>
      <w:numPr>
        <w:ilvl w:val="1"/>
      </w:numPr>
      <w:outlineLvl w:val="9"/>
    </w:pPr>
    <w:rPr>
      <w:b w:val="0"/>
      <w:sz w:val="22"/>
      <w:szCs w:val="22"/>
    </w:rPr>
  </w:style>
  <w:style w:type="paragraph" w:customStyle="1" w:styleId="Legalclauselevel3">
    <w:name w:val="Legal clause level 3"/>
    <w:basedOn w:val="Legalclauselevel2"/>
    <w:uiPriority w:val="30"/>
    <w:qFormat/>
    <w:rsid w:val="00873EB1"/>
    <w:pPr>
      <w:numPr>
        <w:ilvl w:val="2"/>
      </w:numPr>
      <w:spacing w:line="276" w:lineRule="auto"/>
    </w:pPr>
    <w:rPr>
      <w:iCs/>
    </w:rPr>
  </w:style>
  <w:style w:type="paragraph" w:customStyle="1" w:styleId="Legalclauselevel4">
    <w:name w:val="Legal clause level 4"/>
    <w:basedOn w:val="Legalclauselevel3"/>
    <w:uiPriority w:val="30"/>
    <w:qFormat/>
    <w:rsid w:val="00873EB1"/>
    <w:pPr>
      <w:numPr>
        <w:ilvl w:val="3"/>
      </w:numPr>
      <w:tabs>
        <w:tab w:val="clear" w:pos="3119"/>
        <w:tab w:val="num" w:pos="2126"/>
      </w:tabs>
      <w:ind w:left="2126" w:hanging="992"/>
    </w:pPr>
  </w:style>
  <w:style w:type="paragraph" w:customStyle="1" w:styleId="TitleCentred">
    <w:name w:val="Title Centred"/>
    <w:basedOn w:val="Title"/>
    <w:next w:val="NormalParagraph"/>
    <w:uiPriority w:val="27"/>
    <w:qFormat/>
    <w:rsid w:val="00873EB1"/>
    <w:pPr>
      <w:spacing w:before="240" w:after="240"/>
      <w:jc w:val="center"/>
      <w:outlineLvl w:val="0"/>
    </w:pPr>
  </w:style>
  <w:style w:type="numbering" w:customStyle="1" w:styleId="LegalList">
    <w:name w:val="LegalList"/>
    <w:uiPriority w:val="99"/>
    <w:rsid w:val="00873EB1"/>
    <w:pPr>
      <w:numPr>
        <w:numId w:val="16"/>
      </w:numPr>
    </w:pPr>
  </w:style>
  <w:style w:type="paragraph" w:customStyle="1" w:styleId="Legaldefinition">
    <w:name w:val="Legal definition"/>
    <w:basedOn w:val="NOTE"/>
    <w:uiPriority w:val="31"/>
    <w:qFormat/>
    <w:rsid w:val="00873EB1"/>
    <w:pPr>
      <w:tabs>
        <w:tab w:val="clear" w:pos="1560"/>
        <w:tab w:val="left" w:pos="2835"/>
      </w:tabs>
      <w:ind w:left="2835" w:hanging="2268"/>
    </w:pPr>
  </w:style>
  <w:style w:type="character" w:styleId="FollowedHyperlink">
    <w:name w:val="FollowedHyperlink"/>
    <w:basedOn w:val="DefaultParagraphFont"/>
    <w:uiPriority w:val="99"/>
    <w:semiHidden/>
    <w:unhideWhenUsed/>
    <w:rsid w:val="00873EB1"/>
    <w:rPr>
      <w:color w:val="800080" w:themeColor="followedHyperlink"/>
      <w:u w:val="single"/>
    </w:rPr>
  </w:style>
  <w:style w:type="paragraph" w:customStyle="1" w:styleId="CRSheetTitle">
    <w:name w:val="CRSheet Title"/>
    <w:next w:val="NormalParagraph"/>
    <w:qFormat/>
    <w:rsid w:val="00873EB1"/>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line="240" w:lineRule="auto"/>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link w:val="CommentTextChar"/>
    <w:uiPriority w:val="99"/>
    <w:qFormat/>
    <w:rsid w:val="00873EB1"/>
    <w:pPr>
      <w:spacing w:before="0"/>
      <w:jc w:val="left"/>
    </w:pPr>
    <w:rPr>
      <w:rFonts w:eastAsia="MS Mincho"/>
      <w:color w:val="000000"/>
      <w:sz w:val="20"/>
      <w:lang w:val="en-US" w:eastAsia="ja-JP" w:bidi="ar-SA"/>
    </w:rPr>
  </w:style>
  <w:style w:type="character" w:customStyle="1" w:styleId="CommentTextChar">
    <w:name w:val="Comment Text Char"/>
    <w:basedOn w:val="DefaultParagraphFont"/>
    <w:link w:val="CommentTex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paragraph" w:customStyle="1" w:styleId="Text">
    <w:name w:val="Text"/>
    <w:basedOn w:val="Normal"/>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rsid w:val="00873EB1"/>
    <w:pPr>
      <w:numPr>
        <w:numId w:val="18"/>
      </w:numPr>
      <w:tabs>
        <w:tab w:val="clear" w:pos="2203"/>
        <w:tab w:val="num"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rsid w:val="00873EB1"/>
    <w:pPr>
      <w:autoSpaceDE w:val="0"/>
      <w:autoSpaceDN w:val="0"/>
      <w:adjustRightInd w:val="0"/>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73EB1"/>
    <w:pPr>
      <w:spacing w:before="120"/>
      <w:jc w:val="both"/>
    </w:pPr>
    <w:rPr>
      <w:rFonts w:eastAsia="SimSun" w:cs="Arial"/>
      <w:b/>
      <w:bCs/>
      <w:szCs w:val="25"/>
      <w:lang w:eastAsia="zh-CN" w:bidi="bn-BD"/>
    </w:rPr>
  </w:style>
  <w:style w:type="character" w:customStyle="1" w:styleId="CommentSubjectChar">
    <w:name w:val="Comment Subject Char"/>
    <w:basedOn w:val="CommentTextChar"/>
    <w:link w:val="CommentSubject"/>
    <w:uiPriority w:val="99"/>
    <w:semiHidden/>
    <w:rsid w:val="00873EB1"/>
    <w:rPr>
      <w:rFonts w:ascii="Arial" w:eastAsia="SimSun" w:hAnsi="Arial" w:cs="Arial"/>
      <w:b/>
      <w:bCs/>
      <w:color w:val="000000"/>
      <w:szCs w:val="25"/>
      <w:lang w:val="en-US" w:eastAsia="zh-CN" w:bidi="bn-BD"/>
    </w:rPr>
  </w:style>
  <w:style w:type="paragraph" w:customStyle="1" w:styleId="00BodyText">
    <w:name w:val="00 BodyText"/>
    <w:basedOn w:val="Normal"/>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numPr>
        <w:numId w:val="19"/>
      </w:numPr>
      <w:spacing w:line="276" w:lineRule="auto"/>
      <w:ind w:left="720" w:hanging="360"/>
    </w:pPr>
    <w:rPr>
      <w:rFonts w:eastAsia="MS Mincho" w:cs="Arial"/>
      <w:i/>
      <w:szCs w:val="24"/>
      <w:lang w:eastAsia="en-US" w:bidi="ar-SA"/>
    </w:rPr>
  </w:style>
  <w:style w:type="paragraph" w:styleId="BodyText">
    <w:name w:val="Body Text"/>
    <w:basedOn w:val="Normal"/>
    <w:link w:val="BodyTextChar"/>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character" w:customStyle="1" w:styleId="BodyTextChar">
    <w:name w:val="Body Text Char"/>
    <w:basedOn w:val="DefaultParagraphFont"/>
    <w:link w:val="BodyText"/>
    <w:uiPriority w:val="99"/>
    <w:rsid w:val="00873EB1"/>
    <w:rPr>
      <w:rFonts w:ascii="Times New Roman" w:eastAsia="MS Mincho" w:hAnsi="Times New Roman"/>
      <w:lang w:val="en-US" w:eastAsia="en-US"/>
    </w:rPr>
  </w:style>
  <w:style w:type="paragraph" w:customStyle="1" w:styleId="B1">
    <w:name w:val="B1"/>
    <w:basedOn w:val="List"/>
    <w:link w:val="B1Char"/>
    <w:rsid w:val="00873EB1"/>
    <w:pPr>
      <w:spacing w:before="0" w:after="180"/>
      <w:ind w:left="568" w:hanging="284"/>
      <w:contextualSpacing w:val="0"/>
      <w:jc w:val="left"/>
    </w:pPr>
    <w:rPr>
      <w:rFonts w:ascii="Times New Roman" w:hAnsi="Times New Roman"/>
      <w:sz w:val="20"/>
      <w:lang w:val="x-none" w:eastAsia="en-US" w:bidi="ar-SA"/>
    </w:rPr>
  </w:style>
  <w:style w:type="character" w:customStyle="1" w:styleId="B1Char">
    <w:name w:val="B1 Char"/>
    <w:link w:val="B1"/>
    <w:locked/>
    <w:rsid w:val="00873EB1"/>
    <w:rPr>
      <w:rFonts w:ascii="Times New Roman" w:eastAsia="SimSun" w:hAnsi="Times New Roman"/>
      <w:lang w:val="x-none" w:eastAsia="en-US"/>
    </w:rPr>
  </w:style>
  <w:style w:type="paragraph" w:customStyle="1" w:styleId="numitem">
    <w:name w:val="numitem"/>
    <w:basedOn w:val="Normal"/>
    <w:rsid w:val="00873EB1"/>
    <w:pPr>
      <w:numPr>
        <w:numId w:val="20"/>
      </w:numPr>
      <w:overflowPunct w:val="0"/>
      <w:autoSpaceDE w:val="0"/>
      <w:autoSpaceDN w:val="0"/>
      <w:adjustRightInd w:val="0"/>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rsid w:val="00873EB1"/>
    <w:pPr>
      <w:numPr>
        <w:numId w:val="21"/>
      </w:numPr>
      <w:spacing w:after="50" w:line="180" w:lineRule="exact"/>
      <w:jc w:val="both"/>
    </w:pPr>
    <w:rPr>
      <w:rFonts w:ascii="Times New Roman" w:eastAsia="Times New Roman" w:hAnsi="Times New Roman"/>
      <w:noProof/>
      <w:sz w:val="16"/>
      <w:szCs w:val="16"/>
      <w:lang w:val="en-US" w:eastAsia="en-US"/>
    </w:rPr>
  </w:style>
  <w:style w:type="paragraph" w:customStyle="1" w:styleId="TAL">
    <w:name w:val="TAL"/>
    <w:basedOn w:val="Normal"/>
    <w:link w:val="TALChar"/>
    <w:rsid w:val="00873EB1"/>
    <w:pPr>
      <w:keepNext/>
      <w:keepLines/>
      <w:spacing w:before="0"/>
      <w:jc w:val="left"/>
    </w:pPr>
    <w:rPr>
      <w:rFonts w:eastAsia="Times New Roman"/>
      <w:sz w:val="18"/>
      <w:lang w:val="x-none" w:eastAsia="en-US" w:bidi="ar-SA"/>
    </w:rPr>
  </w:style>
  <w:style w:type="character" w:customStyle="1" w:styleId="TALChar">
    <w:name w:val="TAL Char"/>
    <w:link w:val="TAL"/>
    <w:rsid w:val="00873EB1"/>
    <w:rPr>
      <w:rFonts w:ascii="Arial" w:eastAsia="Times New Roman" w:hAnsi="Arial"/>
      <w:sz w:val="18"/>
      <w:lang w:val="x-none" w:eastAsia="en-US"/>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next w:val="Normal"/>
    <w:qFormat/>
    <w:rsid w:val="00873EB1"/>
    <w:pPr>
      <w:spacing w:after="120"/>
      <w:jc w:val="center"/>
    </w:pPr>
    <w:rPr>
      <w:rFonts w:ascii="Helvetica" w:eastAsia="Times New Roman" w:hAnsi="Helvetica"/>
      <w:b/>
      <w:sz w:val="20"/>
      <w:lang w:val="en-US" w:eastAsia="en-US" w:bidi="ar-SA"/>
    </w:rPr>
  </w:style>
  <w:style w:type="paragraph" w:customStyle="1" w:styleId="Body">
    <w:name w:val="Body"/>
    <w:basedOn w:val="Normal"/>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link w:val="HTMLPreformattedChar"/>
    <w:uiPriority w:val="99"/>
    <w:semiHidden/>
    <w:unhideWhenUsed/>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873EB1"/>
    <w:rPr>
      <w:rFonts w:ascii="Courier New" w:hAnsi="Courier New" w:cs="Courier New"/>
      <w:lang w:val="en-US" w:eastAsia="en-US"/>
    </w:rPr>
  </w:style>
  <w:style w:type="paragraph" w:styleId="TOC7">
    <w:name w:val="toc 7"/>
    <w:basedOn w:val="Normal"/>
    <w:next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next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character" w:styleId="Emphasis">
    <w:name w:val="Emphasis"/>
    <w:basedOn w:val="DefaultParagraphFont"/>
    <w:uiPriority w:val="35"/>
    <w:qFormat/>
    <w:rsid w:val="00873EB1"/>
    <w:rPr>
      <w:i/>
      <w:iCs/>
    </w:rPr>
  </w:style>
  <w:style w:type="paragraph" w:customStyle="1" w:styleId="AOBulletL2NGINFSDtemplatelistlevel2">
    <w:name w:val="AO_Bullet L2 NGIN_FSD template list level 2"/>
    <w:basedOn w:val="Normal"/>
    <w:qFormat/>
    <w:rsid w:val="00873EB1"/>
    <w:pPr>
      <w:numPr>
        <w:ilvl w:val="1"/>
        <w:numId w:val="22"/>
      </w:num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numPr>
        <w:numId w:val="22"/>
      </w:num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numPr>
        <w:ilvl w:val="5"/>
        <w:numId w:val="22"/>
      </w:numPr>
      <w:tabs>
        <w:tab w:val="left" w:pos="1985"/>
        <w:tab w:val="left" w:pos="2693"/>
      </w:tabs>
      <w:spacing w:after="120"/>
      <w:ind w:left="1985"/>
    </w:pPr>
    <w:rPr>
      <w:rFonts w:eastAsia="Times New Roman"/>
      <w:szCs w:val="24"/>
      <w:lang w:eastAsia="en-US" w:bidi="ar-SA"/>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paragraph" w:customStyle="1" w:styleId="AOBulletL5NGINFSDtemplatelistlevel5">
    <w:name w:val="AO_Bullet L5 NGIN_FSD template list level 5"/>
    <w:basedOn w:val="AOBulletL4NGINFSDtemplatelistlevel4"/>
    <w:qFormat/>
    <w:rsid w:val="00873EB1"/>
    <w:pPr>
      <w:numPr>
        <w:ilvl w:val="6"/>
      </w:numPr>
      <w:ind w:left="2410"/>
    </w:pPr>
  </w:style>
  <w:style w:type="paragraph" w:customStyle="1" w:styleId="Pseudocode">
    <w:name w:val="Pseudocode"/>
    <w:basedOn w:val="TableText"/>
    <w:uiPriority w:val="49"/>
    <w:qFormat/>
    <w:rsid w:val="00873EB1"/>
    <w:rPr>
      <w:rFonts w:ascii="Consolas" w:hAnsi="Consolas" w:cs="Consolas"/>
      <w:szCs w:val="20"/>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Text2">
    <w:name w:val="Table Bullet Text 2"/>
    <w:basedOn w:val="TableBulletText"/>
    <w:uiPriority w:val="49"/>
    <w:qFormat/>
    <w:rsid w:val="00873EB1"/>
    <w:pPr>
      <w:numPr>
        <w:numId w:val="0"/>
      </w:numPr>
      <w:ind w:left="877" w:hanging="330"/>
    </w:pPr>
  </w:style>
  <w:style w:type="paragraph" w:customStyle="1" w:styleId="TableBulletText3">
    <w:name w:val="Table Bullet Text 3"/>
    <w:basedOn w:val="TableBulletText2"/>
    <w:uiPriority w:val="49"/>
    <w:qFormat/>
    <w:rsid w:val="00873EB1"/>
    <w:pPr>
      <w:numPr>
        <w:numId w:val="23"/>
      </w:numPr>
    </w:pPr>
    <w:rPr>
      <w:rFonts w:cs="Arial"/>
    </w:rPr>
  </w:style>
  <w:style w:type="paragraph" w:styleId="DocumentMap">
    <w:name w:val="Document Map"/>
    <w:basedOn w:val="Normal"/>
    <w:link w:val="DocumentMapChar"/>
    <w:uiPriority w:val="99"/>
    <w:semiHidden/>
    <w:unhideWhenUsed/>
    <w:rsid w:val="00873EB1"/>
    <w:pPr>
      <w:spacing w:before="0"/>
    </w:pPr>
    <w:rPr>
      <w:rFonts w:ascii="Times New Roman" w:hAnsi="Times New Roman"/>
      <w:sz w:val="24"/>
      <w:szCs w:val="30"/>
    </w:rPr>
  </w:style>
  <w:style w:type="character" w:customStyle="1" w:styleId="DocumentMapChar">
    <w:name w:val="Document Map Char"/>
    <w:basedOn w:val="DefaultParagraphFont"/>
    <w:link w:val="DocumentMap"/>
    <w:uiPriority w:val="99"/>
    <w:semiHidden/>
    <w:rsid w:val="00873EB1"/>
    <w:rPr>
      <w:rFonts w:ascii="Times New Roman" w:eastAsia="SimSun" w:hAnsi="Times New Roman"/>
      <w:sz w:val="24"/>
      <w:szCs w:val="30"/>
      <w:lang w:eastAsia="zh-CN" w:bidi="bn-BD"/>
    </w:rPr>
  </w:style>
  <w:style w:type="character" w:customStyle="1" w:styleId="TACChar">
    <w:name w:val="TAC Char"/>
    <w:link w:val="TAC"/>
    <w:locked/>
    <w:rsid w:val="00873EB1"/>
    <w:rPr>
      <w:rFonts w:ascii="Arial" w:hAnsi="Arial" w:cs="Arial"/>
      <w:sz w:val="18"/>
    </w:rPr>
  </w:style>
  <w:style w:type="paragraph" w:customStyle="1" w:styleId="TAC">
    <w:name w:val="TAC"/>
    <w:basedOn w:val="Normal"/>
    <w:link w:val="TACChar"/>
    <w:rsid w:val="00873EB1"/>
    <w:pPr>
      <w:keepNext/>
      <w:keepLines/>
      <w:overflowPunct w:val="0"/>
      <w:autoSpaceDE w:val="0"/>
      <w:autoSpaceDN w:val="0"/>
      <w:adjustRightInd w:val="0"/>
      <w:spacing w:before="0"/>
      <w:jc w:val="center"/>
    </w:pPr>
    <w:rPr>
      <w:rFonts w:eastAsia="Calibri" w:cs="Arial"/>
      <w:sz w:val="18"/>
      <w:lang w:eastAsia="en-GB" w:bidi="ar-SA"/>
    </w:rPr>
  </w:style>
  <w:style w:type="character" w:customStyle="1" w:styleId="apple-converted-space">
    <w:name w:val="apple-converted-space"/>
    <w:basedOn w:val="DefaultParagraphFont"/>
    <w:rsid w:val="00873EB1"/>
  </w:style>
  <w:style w:type="character" w:customStyle="1" w:styleId="UnresolvedMention1">
    <w:name w:val="Unresolved Mention1"/>
    <w:basedOn w:val="DefaultParagraphFont"/>
    <w:uiPriority w:val="99"/>
    <w:unhideWhenUsed/>
    <w:rsid w:val="00873EB1"/>
    <w:rPr>
      <w:color w:val="808080"/>
      <w:shd w:val="clear" w:color="auto" w:fill="E6E6E6"/>
    </w:rPr>
  </w:style>
  <w:style w:type="character" w:customStyle="1" w:styleId="UnresolvedMention2">
    <w:name w:val="Unresolved Mention2"/>
    <w:basedOn w:val="DefaultParagraphFont"/>
    <w:uiPriority w:val="99"/>
    <w:semiHidden/>
    <w:unhideWhenUsed/>
    <w:rsid w:val="00873EB1"/>
    <w:rPr>
      <w:color w:val="808080"/>
      <w:shd w:val="clear" w:color="auto" w:fill="E6E6E6"/>
    </w:rPr>
  </w:style>
  <w:style w:type="character" w:customStyle="1" w:styleId="UnresolvedMention3">
    <w:name w:val="Unresolved Mention3"/>
    <w:basedOn w:val="DefaultParagraphFont"/>
    <w:uiPriority w:val="99"/>
    <w:semiHidden/>
    <w:unhideWhenUsed/>
    <w:rsid w:val="00873EB1"/>
    <w:rPr>
      <w:color w:val="808080"/>
      <w:shd w:val="clear" w:color="auto" w:fill="E6E6E6"/>
    </w:rPr>
  </w:style>
  <w:style w:type="character" w:customStyle="1" w:styleId="UnresolvedMention4">
    <w:name w:val="Unresolved Mention4"/>
    <w:basedOn w:val="DefaultParagraphFont"/>
    <w:uiPriority w:val="99"/>
    <w:semiHidden/>
    <w:unhideWhenUsed/>
    <w:rsid w:val="00873E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94340">
      <w:bodyDiv w:val="1"/>
      <w:marLeft w:val="0"/>
      <w:marRight w:val="0"/>
      <w:marTop w:val="0"/>
      <w:marBottom w:val="0"/>
      <w:divBdr>
        <w:top w:val="none" w:sz="0" w:space="0" w:color="auto"/>
        <w:left w:val="none" w:sz="0" w:space="0" w:color="auto"/>
        <w:bottom w:val="none" w:sz="0" w:space="0" w:color="auto"/>
        <w:right w:val="none" w:sz="0" w:space="0" w:color="auto"/>
      </w:divBdr>
      <w:divsChild>
        <w:div w:id="1512259255">
          <w:marLeft w:val="0"/>
          <w:marRight w:val="0"/>
          <w:marTop w:val="0"/>
          <w:marBottom w:val="0"/>
          <w:divBdr>
            <w:top w:val="none" w:sz="0" w:space="0" w:color="auto"/>
            <w:left w:val="none" w:sz="0" w:space="0" w:color="auto"/>
            <w:bottom w:val="none" w:sz="0" w:space="0" w:color="auto"/>
            <w:right w:val="none" w:sz="0" w:space="0" w:color="auto"/>
          </w:divBdr>
          <w:divsChild>
            <w:div w:id="136842563">
              <w:marLeft w:val="0"/>
              <w:marRight w:val="0"/>
              <w:marTop w:val="0"/>
              <w:marBottom w:val="0"/>
              <w:divBdr>
                <w:top w:val="none" w:sz="0" w:space="0" w:color="auto"/>
                <w:left w:val="none" w:sz="0" w:space="0" w:color="auto"/>
                <w:bottom w:val="none" w:sz="0" w:space="0" w:color="auto"/>
                <w:right w:val="none" w:sz="0" w:space="0" w:color="auto"/>
              </w:divBdr>
              <w:divsChild>
                <w:div w:id="16854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97927">
      <w:bodyDiv w:val="1"/>
      <w:marLeft w:val="0"/>
      <w:marRight w:val="0"/>
      <w:marTop w:val="0"/>
      <w:marBottom w:val="0"/>
      <w:divBdr>
        <w:top w:val="none" w:sz="0" w:space="0" w:color="auto"/>
        <w:left w:val="none" w:sz="0" w:space="0" w:color="auto"/>
        <w:bottom w:val="none" w:sz="0" w:space="0" w:color="auto"/>
        <w:right w:val="none" w:sz="0" w:space="0" w:color="auto"/>
      </w:divBdr>
      <w:divsChild>
        <w:div w:id="1756703420">
          <w:marLeft w:val="0"/>
          <w:marRight w:val="0"/>
          <w:marTop w:val="0"/>
          <w:marBottom w:val="0"/>
          <w:divBdr>
            <w:top w:val="none" w:sz="0" w:space="0" w:color="auto"/>
            <w:left w:val="none" w:sz="0" w:space="0" w:color="auto"/>
            <w:bottom w:val="none" w:sz="0" w:space="0" w:color="auto"/>
            <w:right w:val="none" w:sz="0" w:space="0" w:color="auto"/>
          </w:divBdr>
          <w:divsChild>
            <w:div w:id="1735928761">
              <w:marLeft w:val="0"/>
              <w:marRight w:val="0"/>
              <w:marTop w:val="0"/>
              <w:marBottom w:val="0"/>
              <w:divBdr>
                <w:top w:val="none" w:sz="0" w:space="0" w:color="auto"/>
                <w:left w:val="none" w:sz="0" w:space="0" w:color="auto"/>
                <w:bottom w:val="none" w:sz="0" w:space="0" w:color="auto"/>
                <w:right w:val="none" w:sz="0" w:space="0" w:color="auto"/>
              </w:divBdr>
              <w:divsChild>
                <w:div w:id="11775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651518">
      <w:bodyDiv w:val="1"/>
      <w:marLeft w:val="0"/>
      <w:marRight w:val="0"/>
      <w:marTop w:val="0"/>
      <w:marBottom w:val="0"/>
      <w:divBdr>
        <w:top w:val="none" w:sz="0" w:space="0" w:color="auto"/>
        <w:left w:val="none" w:sz="0" w:space="0" w:color="auto"/>
        <w:bottom w:val="none" w:sz="0" w:space="0" w:color="auto"/>
        <w:right w:val="none" w:sz="0" w:space="0" w:color="auto"/>
      </w:divBdr>
      <w:divsChild>
        <w:div w:id="416557399">
          <w:marLeft w:val="547"/>
          <w:marRight w:val="0"/>
          <w:marTop w:val="240"/>
          <w:marBottom w:val="0"/>
          <w:divBdr>
            <w:top w:val="none" w:sz="0" w:space="0" w:color="auto"/>
            <w:left w:val="none" w:sz="0" w:space="0" w:color="auto"/>
            <w:bottom w:val="none" w:sz="0" w:space="0" w:color="auto"/>
            <w:right w:val="none" w:sz="0" w:space="0" w:color="auto"/>
          </w:divBdr>
        </w:div>
        <w:div w:id="2089157508">
          <w:marLeft w:val="1267"/>
          <w:marRight w:val="0"/>
          <w:marTop w:val="60"/>
          <w:marBottom w:val="0"/>
          <w:divBdr>
            <w:top w:val="none" w:sz="0" w:space="0" w:color="auto"/>
            <w:left w:val="none" w:sz="0" w:space="0" w:color="auto"/>
            <w:bottom w:val="none" w:sz="0" w:space="0" w:color="auto"/>
            <w:right w:val="none" w:sz="0" w:space="0" w:color="auto"/>
          </w:divBdr>
        </w:div>
        <w:div w:id="1088232552">
          <w:marLeft w:val="1267"/>
          <w:marRight w:val="0"/>
          <w:marTop w:val="60"/>
          <w:marBottom w:val="0"/>
          <w:divBdr>
            <w:top w:val="none" w:sz="0" w:space="0" w:color="auto"/>
            <w:left w:val="none" w:sz="0" w:space="0" w:color="auto"/>
            <w:bottom w:val="none" w:sz="0" w:space="0" w:color="auto"/>
            <w:right w:val="none" w:sz="0" w:space="0" w:color="auto"/>
          </w:divBdr>
        </w:div>
      </w:divsChild>
    </w:div>
    <w:div w:id="1175999359">
      <w:bodyDiv w:val="1"/>
      <w:marLeft w:val="0"/>
      <w:marRight w:val="0"/>
      <w:marTop w:val="0"/>
      <w:marBottom w:val="0"/>
      <w:divBdr>
        <w:top w:val="none" w:sz="0" w:space="0" w:color="auto"/>
        <w:left w:val="none" w:sz="0" w:space="0" w:color="auto"/>
        <w:bottom w:val="none" w:sz="0" w:space="0" w:color="auto"/>
        <w:right w:val="none" w:sz="0" w:space="0" w:color="auto"/>
      </w:divBdr>
      <w:divsChild>
        <w:div w:id="1420371532">
          <w:marLeft w:val="0"/>
          <w:marRight w:val="0"/>
          <w:marTop w:val="0"/>
          <w:marBottom w:val="0"/>
          <w:divBdr>
            <w:top w:val="none" w:sz="0" w:space="0" w:color="auto"/>
            <w:left w:val="none" w:sz="0" w:space="0" w:color="auto"/>
            <w:bottom w:val="none" w:sz="0" w:space="0" w:color="auto"/>
            <w:right w:val="none" w:sz="0" w:space="0" w:color="auto"/>
          </w:divBdr>
          <w:divsChild>
            <w:div w:id="223687559">
              <w:marLeft w:val="0"/>
              <w:marRight w:val="0"/>
              <w:marTop w:val="0"/>
              <w:marBottom w:val="0"/>
              <w:divBdr>
                <w:top w:val="none" w:sz="0" w:space="0" w:color="auto"/>
                <w:left w:val="none" w:sz="0" w:space="0" w:color="auto"/>
                <w:bottom w:val="none" w:sz="0" w:space="0" w:color="auto"/>
                <w:right w:val="none" w:sz="0" w:space="0" w:color="auto"/>
              </w:divBdr>
              <w:divsChild>
                <w:div w:id="17839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09075">
      <w:bodyDiv w:val="1"/>
      <w:marLeft w:val="0"/>
      <w:marRight w:val="0"/>
      <w:marTop w:val="0"/>
      <w:marBottom w:val="0"/>
      <w:divBdr>
        <w:top w:val="none" w:sz="0" w:space="0" w:color="auto"/>
        <w:left w:val="none" w:sz="0" w:space="0" w:color="auto"/>
        <w:bottom w:val="none" w:sz="0" w:space="0" w:color="auto"/>
        <w:right w:val="none" w:sz="0" w:space="0" w:color="auto"/>
      </w:divBdr>
      <w:divsChild>
        <w:div w:id="922838862">
          <w:marLeft w:val="0"/>
          <w:marRight w:val="0"/>
          <w:marTop w:val="0"/>
          <w:marBottom w:val="0"/>
          <w:divBdr>
            <w:top w:val="none" w:sz="0" w:space="0" w:color="auto"/>
            <w:left w:val="none" w:sz="0" w:space="0" w:color="auto"/>
            <w:bottom w:val="none" w:sz="0" w:space="0" w:color="auto"/>
            <w:right w:val="none" w:sz="0" w:space="0" w:color="auto"/>
          </w:divBdr>
          <w:divsChild>
            <w:div w:id="1310403442">
              <w:marLeft w:val="0"/>
              <w:marRight w:val="0"/>
              <w:marTop w:val="0"/>
              <w:marBottom w:val="0"/>
              <w:divBdr>
                <w:top w:val="none" w:sz="0" w:space="0" w:color="auto"/>
                <w:left w:val="none" w:sz="0" w:space="0" w:color="auto"/>
                <w:bottom w:val="none" w:sz="0" w:space="0" w:color="auto"/>
                <w:right w:val="none" w:sz="0" w:space="0" w:color="auto"/>
              </w:divBdr>
              <w:divsChild>
                <w:div w:id="19751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86040">
      <w:bodyDiv w:val="1"/>
      <w:marLeft w:val="0"/>
      <w:marRight w:val="0"/>
      <w:marTop w:val="0"/>
      <w:marBottom w:val="0"/>
      <w:divBdr>
        <w:top w:val="none" w:sz="0" w:space="0" w:color="auto"/>
        <w:left w:val="none" w:sz="0" w:space="0" w:color="auto"/>
        <w:bottom w:val="none" w:sz="0" w:space="0" w:color="auto"/>
        <w:right w:val="none" w:sz="0" w:space="0" w:color="auto"/>
      </w:divBdr>
      <w:divsChild>
        <w:div w:id="1515338618">
          <w:marLeft w:val="0"/>
          <w:marRight w:val="0"/>
          <w:marTop w:val="0"/>
          <w:marBottom w:val="0"/>
          <w:divBdr>
            <w:top w:val="none" w:sz="0" w:space="0" w:color="auto"/>
            <w:left w:val="none" w:sz="0" w:space="0" w:color="auto"/>
            <w:bottom w:val="none" w:sz="0" w:space="0" w:color="auto"/>
            <w:right w:val="none" w:sz="0" w:space="0" w:color="auto"/>
          </w:divBdr>
          <w:divsChild>
            <w:div w:id="1016690492">
              <w:marLeft w:val="0"/>
              <w:marRight w:val="0"/>
              <w:marTop w:val="0"/>
              <w:marBottom w:val="0"/>
              <w:divBdr>
                <w:top w:val="none" w:sz="0" w:space="0" w:color="auto"/>
                <w:left w:val="none" w:sz="0" w:space="0" w:color="auto"/>
                <w:bottom w:val="none" w:sz="0" w:space="0" w:color="auto"/>
                <w:right w:val="none" w:sz="0" w:space="0" w:color="auto"/>
              </w:divBdr>
              <w:divsChild>
                <w:div w:id="1307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28402299">
      <w:bodyDiv w:val="1"/>
      <w:marLeft w:val="0"/>
      <w:marRight w:val="0"/>
      <w:marTop w:val="0"/>
      <w:marBottom w:val="0"/>
      <w:divBdr>
        <w:top w:val="none" w:sz="0" w:space="0" w:color="auto"/>
        <w:left w:val="none" w:sz="0" w:space="0" w:color="auto"/>
        <w:bottom w:val="none" w:sz="0" w:space="0" w:color="auto"/>
        <w:right w:val="none" w:sz="0" w:space="0" w:color="auto"/>
      </w:divBdr>
      <w:divsChild>
        <w:div w:id="937566453">
          <w:marLeft w:val="0"/>
          <w:marRight w:val="0"/>
          <w:marTop w:val="0"/>
          <w:marBottom w:val="0"/>
          <w:divBdr>
            <w:top w:val="none" w:sz="0" w:space="0" w:color="auto"/>
            <w:left w:val="none" w:sz="0" w:space="0" w:color="auto"/>
            <w:bottom w:val="none" w:sz="0" w:space="0" w:color="auto"/>
            <w:right w:val="none" w:sz="0" w:space="0" w:color="auto"/>
          </w:divBdr>
          <w:divsChild>
            <w:div w:id="851996054">
              <w:marLeft w:val="0"/>
              <w:marRight w:val="0"/>
              <w:marTop w:val="0"/>
              <w:marBottom w:val="0"/>
              <w:divBdr>
                <w:top w:val="none" w:sz="0" w:space="0" w:color="auto"/>
                <w:left w:val="none" w:sz="0" w:space="0" w:color="auto"/>
                <w:bottom w:val="none" w:sz="0" w:space="0" w:color="auto"/>
                <w:right w:val="none" w:sz="0" w:space="0" w:color="auto"/>
              </w:divBdr>
              <w:divsChild>
                <w:div w:id="153892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040269">
      <w:bodyDiv w:val="1"/>
      <w:marLeft w:val="0"/>
      <w:marRight w:val="0"/>
      <w:marTop w:val="0"/>
      <w:marBottom w:val="0"/>
      <w:divBdr>
        <w:top w:val="none" w:sz="0" w:space="0" w:color="auto"/>
        <w:left w:val="none" w:sz="0" w:space="0" w:color="auto"/>
        <w:bottom w:val="none" w:sz="0" w:space="0" w:color="auto"/>
        <w:right w:val="none" w:sz="0" w:space="0" w:color="auto"/>
      </w:divBdr>
      <w:divsChild>
        <w:div w:id="393817761">
          <w:marLeft w:val="0"/>
          <w:marRight w:val="0"/>
          <w:marTop w:val="0"/>
          <w:marBottom w:val="0"/>
          <w:divBdr>
            <w:top w:val="none" w:sz="0" w:space="0" w:color="auto"/>
            <w:left w:val="none" w:sz="0" w:space="0" w:color="auto"/>
            <w:bottom w:val="none" w:sz="0" w:space="0" w:color="auto"/>
            <w:right w:val="none" w:sz="0" w:space="0" w:color="auto"/>
          </w:divBdr>
          <w:divsChild>
            <w:div w:id="1967419367">
              <w:marLeft w:val="0"/>
              <w:marRight w:val="0"/>
              <w:marTop w:val="0"/>
              <w:marBottom w:val="0"/>
              <w:divBdr>
                <w:top w:val="none" w:sz="0" w:space="0" w:color="auto"/>
                <w:left w:val="none" w:sz="0" w:space="0" w:color="auto"/>
                <w:bottom w:val="none" w:sz="0" w:space="0" w:color="auto"/>
                <w:right w:val="none" w:sz="0" w:space="0" w:color="auto"/>
              </w:divBdr>
              <w:divsChild>
                <w:div w:id="20583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tools.ietf.org/html/draft-friel-tls-atls-0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DB497-48DD-498E-8324-04262C4E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Template>
  <TotalTime>1</TotalTime>
  <Pages>6</Pages>
  <Words>5147</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Diameter IPX End-to-End Security Solution</vt:lpstr>
      <vt:lpstr>Diameter IPX End-to-End Security Solution</vt:lpstr>
    </vt:vector>
  </TitlesOfParts>
  <Manager/>
  <Company/>
  <LinksUpToDate>false</LinksUpToDate>
  <CharactersWithSpaces>34417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Diameter IPX End-to-End Security Solution</dc:title>
  <dc:subject>Liaison statement GSMA DESS to 3GPP SA3</dc:subject>
  <dc:creator>Pieter Veenstra</dc:creator>
  <cp:keywords/>
  <dc:description/>
  <cp:lastModifiedBy>David Hutton</cp:lastModifiedBy>
  <cp:revision>4</cp:revision>
  <dcterms:created xsi:type="dcterms:W3CDTF">2019-04-17T12:02:00Z</dcterms:created>
  <dcterms:modified xsi:type="dcterms:W3CDTF">2019-04-17T13:40:00Z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i4>1800</vt:i4>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MSIP_Label_d2dc6f62-bb58-4b94-b6ca-9af54699d31b_Enabled">
    <vt:lpwstr>True</vt:lpwstr>
  </property>
  <property fmtid="{D5CDD505-2E9C-101B-9397-08002B2CF9AE}" pid="26" name="MSIP_Label_d2dc6f62-bb58-4b94-b6ca-9af54699d31b_SiteId">
    <vt:lpwstr>00000000-0000-0000-0000-000000000000</vt:lpwstr>
  </property>
  <property fmtid="{D5CDD505-2E9C-101B-9397-08002B2CF9AE}" pid="27" name="MSIP_Label_d2dc6f62-bb58-4b94-b6ca-9af54699d31b_Owner">
    <vt:lpwstr>ewout.pronk@kpn.com</vt:lpwstr>
  </property>
  <property fmtid="{D5CDD505-2E9C-101B-9397-08002B2CF9AE}" pid="28" name="MSIP_Label_d2dc6f62-bb58-4b94-b6ca-9af54699d31b_SetDate">
    <vt:lpwstr>2019-03-27T20:34:47.6849370Z</vt:lpwstr>
  </property>
  <property fmtid="{D5CDD505-2E9C-101B-9397-08002B2CF9AE}" pid="29" name="MSIP_Label_d2dc6f62-bb58-4b94-b6ca-9af54699d31b_Name">
    <vt:lpwstr>Intern gebruik</vt:lpwstr>
  </property>
  <property fmtid="{D5CDD505-2E9C-101B-9397-08002B2CF9AE}" pid="30" name="MSIP_Label_d2dc6f62-bb58-4b94-b6ca-9af54699d31b_Application">
    <vt:lpwstr>Microsoft Azure Information Protection</vt:lpwstr>
  </property>
  <property fmtid="{D5CDD505-2E9C-101B-9397-08002B2CF9AE}" pid="31" name="MSIP_Label_d2dc6f62-bb58-4b94-b6ca-9af54699d31b_Extended_MSFT_Method">
    <vt:lpwstr>Automatic</vt:lpwstr>
  </property>
  <property fmtid="{D5CDD505-2E9C-101B-9397-08002B2CF9AE}" pid="32" name="Sensitivity">
    <vt:lpwstr>Intern gebruik</vt:lpwstr>
  </property>
</Properties>
</file>